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2A0F" w:rsidRPr="00453B41" w:rsidRDefault="0022444E" w:rsidP="0022444E">
      <w:pPr>
        <w:spacing w:after="0" w:line="360" w:lineRule="auto"/>
        <w:jc w:val="center"/>
        <w:rPr>
          <w:rFonts w:asciiTheme="majorHAnsi" w:hAnsiTheme="majorHAnsi"/>
          <w:b/>
          <w:sz w:val="24"/>
          <w:szCs w:val="24"/>
        </w:rPr>
      </w:pPr>
      <w:r w:rsidRPr="00453B41">
        <w:rPr>
          <w:rFonts w:asciiTheme="majorHAnsi" w:hAnsiTheme="majorHAnsi"/>
          <w:b/>
          <w:sz w:val="24"/>
          <w:szCs w:val="24"/>
        </w:rPr>
        <w:t>Kõrgharidusõppe kvaliteedi hindamise</w:t>
      </w:r>
      <w:r w:rsidR="00DB1613" w:rsidRPr="00453B41">
        <w:rPr>
          <w:rFonts w:asciiTheme="majorHAnsi" w:hAnsiTheme="majorHAnsi"/>
          <w:b/>
          <w:sz w:val="24"/>
          <w:szCs w:val="24"/>
        </w:rPr>
        <w:t xml:space="preserve"> tulemused</w:t>
      </w:r>
      <w:r w:rsidR="00852BEE" w:rsidRPr="00453B41">
        <w:rPr>
          <w:rFonts w:asciiTheme="majorHAnsi" w:hAnsiTheme="majorHAnsi"/>
          <w:b/>
          <w:sz w:val="24"/>
          <w:szCs w:val="24"/>
        </w:rPr>
        <w:t xml:space="preserve"> 2012-2016</w:t>
      </w:r>
    </w:p>
    <w:p w:rsidR="0022444E" w:rsidRPr="00453B41" w:rsidRDefault="0022444E" w:rsidP="0022444E">
      <w:pPr>
        <w:spacing w:after="0" w:line="360" w:lineRule="auto"/>
        <w:jc w:val="center"/>
        <w:rPr>
          <w:rFonts w:asciiTheme="majorHAnsi" w:hAnsiTheme="majorHAnsi"/>
          <w:sz w:val="24"/>
          <w:szCs w:val="24"/>
        </w:rPr>
      </w:pPr>
      <w:r w:rsidRPr="00453B41">
        <w:rPr>
          <w:rFonts w:asciiTheme="majorHAnsi" w:hAnsiTheme="majorHAnsi"/>
          <w:sz w:val="24"/>
          <w:szCs w:val="24"/>
        </w:rPr>
        <w:t>Liia Lauri, Heli Mattisen</w:t>
      </w:r>
    </w:p>
    <w:p w:rsidR="00862A0F" w:rsidRPr="00453B41" w:rsidRDefault="0022444E" w:rsidP="00596A6E">
      <w:pPr>
        <w:pStyle w:val="NormalWeb"/>
        <w:shd w:val="clear" w:color="auto" w:fill="FFFFFF"/>
        <w:spacing w:after="0" w:line="360" w:lineRule="auto"/>
        <w:jc w:val="both"/>
        <w:rPr>
          <w:rFonts w:asciiTheme="majorHAnsi" w:hAnsiTheme="majorHAnsi" w:cs="Calibri"/>
          <w:lang w:val="et-EE"/>
        </w:rPr>
      </w:pPr>
      <w:r w:rsidRPr="00453B41">
        <w:rPr>
          <w:rFonts w:asciiTheme="majorHAnsi" w:hAnsiTheme="majorHAnsi" w:cs="Calibri"/>
          <w:lang w:val="et-EE"/>
        </w:rPr>
        <w:t>Alates 2012. aastas saavad Eestis kõrgharidust pakkuda ainult õppe kvaliteedi hindamise läbinud kõrgkoolid. Kõrgharidustaseme õpet saab Eestis läbi viia üksnes juhul, kui Vabariigi Valitsus on andnud selleks nn koolitusloa – õiguse nimetatud õppekavagrupis ja õppes (bakalaureuse-, rakenduskõrgharidus-, magistri-, integreeritud ja doktoriõpe) õpet läbi viia. Kõrgkoolid, mis on saanud õppe läbiviimise õiguse, peavad vähemalt kord 7 aasta jooksul läbima institutsionaalse akrediteerimise. Lisaks peab kõrgkool läbima kõikides õppekavagruppides vähemalt kord 7 aasta jooksul kvaliteedihindamise.  Õppekavagrupi kvaliteedi hindamise käigus hinnatakse õppekavade ning nende alusel toimuva õppe ja õppealase arendustegevuse vastavust õigusaktidele, riigisisestele ja rahvusvahelistele standarditele ja arengusuundadele, eesmärgiga anda soovitusi õppe kvaliteedi parandamiseks.</w:t>
      </w:r>
      <w:r w:rsidR="0009459F" w:rsidRPr="00453B41">
        <w:rPr>
          <w:rFonts w:asciiTheme="majorHAnsi" w:hAnsiTheme="majorHAnsi" w:cs="Calibri"/>
          <w:lang w:val="et-EE"/>
        </w:rPr>
        <w:t xml:space="preserve"> </w:t>
      </w:r>
      <w:r w:rsidR="00862A0F" w:rsidRPr="00453B41">
        <w:rPr>
          <w:rFonts w:asciiTheme="majorHAnsi" w:hAnsiTheme="majorHAnsi" w:cs="Calibri"/>
          <w:lang w:val="et-EE"/>
        </w:rPr>
        <w:t>Hindamist viib läbi Eesti Kõrg- ja Kutsehariduse Kvaliteediagentuur (EKKA) alates 201</w:t>
      </w:r>
      <w:r w:rsidR="00E24B86" w:rsidRPr="00453B41">
        <w:rPr>
          <w:rFonts w:asciiTheme="majorHAnsi" w:hAnsiTheme="majorHAnsi" w:cs="Calibri"/>
          <w:lang w:val="et-EE"/>
        </w:rPr>
        <w:t>2</w:t>
      </w:r>
      <w:r w:rsidR="00862A0F" w:rsidRPr="00453B41">
        <w:rPr>
          <w:rFonts w:asciiTheme="majorHAnsi" w:hAnsiTheme="majorHAnsi" w:cs="Calibri"/>
          <w:lang w:val="et-EE"/>
        </w:rPr>
        <w:t>. aastast. Hindamisotsused võtab vastu EKKA kõrghariduse hindamisnõukogu</w:t>
      </w:r>
      <w:r w:rsidR="00862A0F" w:rsidRPr="00453B41">
        <w:rPr>
          <w:rStyle w:val="FootnoteReference"/>
          <w:rFonts w:asciiTheme="majorHAnsi" w:hAnsiTheme="majorHAnsi" w:cs="Calibri"/>
          <w:lang w:val="et-EE"/>
        </w:rPr>
        <w:footnoteReference w:id="1"/>
      </w:r>
      <w:r w:rsidR="00862A0F" w:rsidRPr="00453B41">
        <w:rPr>
          <w:rFonts w:asciiTheme="majorHAnsi" w:hAnsiTheme="majorHAnsi" w:cs="Calibri"/>
          <w:lang w:val="et-EE"/>
        </w:rPr>
        <w:t>.</w:t>
      </w:r>
    </w:p>
    <w:p w:rsidR="00862A0F" w:rsidRPr="00453B41" w:rsidRDefault="00862A0F" w:rsidP="00596A6E">
      <w:pPr>
        <w:pStyle w:val="NormalWeb"/>
        <w:shd w:val="clear" w:color="auto" w:fill="FFFFFF"/>
        <w:spacing w:after="0" w:afterAutospacing="0" w:line="360" w:lineRule="auto"/>
        <w:jc w:val="both"/>
        <w:rPr>
          <w:rFonts w:asciiTheme="majorHAnsi" w:hAnsiTheme="majorHAnsi" w:cs="Calibri"/>
          <w:lang w:val="et-EE"/>
        </w:rPr>
      </w:pPr>
      <w:r w:rsidRPr="00453B41">
        <w:rPr>
          <w:rFonts w:asciiTheme="majorHAnsi" w:hAnsiTheme="majorHAnsi" w:cs="Calibri"/>
          <w:lang w:val="et-EE"/>
        </w:rPr>
        <w:t>Hindamise aluseks on kõrgkooli eneseanalüüsi aruan</w:t>
      </w:r>
      <w:r w:rsidR="0009459F" w:rsidRPr="00453B41">
        <w:rPr>
          <w:rFonts w:asciiTheme="majorHAnsi" w:hAnsiTheme="majorHAnsi" w:cs="Calibri"/>
          <w:lang w:val="et-EE"/>
        </w:rPr>
        <w:t>ne, seejärel viib  rahvusvahelin</w:t>
      </w:r>
      <w:r w:rsidRPr="00453B41">
        <w:rPr>
          <w:rFonts w:asciiTheme="majorHAnsi" w:hAnsiTheme="majorHAnsi" w:cs="Calibri"/>
          <w:lang w:val="et-EE"/>
        </w:rPr>
        <w:t xml:space="preserve">e ekspertkomisjon läbi kõrgkooli külastuse, </w:t>
      </w:r>
      <w:r w:rsidR="0009459F" w:rsidRPr="00453B41">
        <w:rPr>
          <w:rFonts w:asciiTheme="majorHAnsi" w:hAnsiTheme="majorHAnsi" w:cs="Calibri"/>
          <w:lang w:val="et-EE"/>
        </w:rPr>
        <w:t>mille käigus</w:t>
      </w:r>
      <w:r w:rsidRPr="00453B41">
        <w:rPr>
          <w:rFonts w:asciiTheme="majorHAnsi" w:hAnsiTheme="majorHAnsi" w:cs="Calibri"/>
          <w:lang w:val="et-EE"/>
        </w:rPr>
        <w:t xml:space="preserve"> vestleb õppekavagrupi juhtide, õppejõudude ja üliõpilastega. Aruande ja külastuselt kogutud info põhjal koostab komisjon aruande viie hindamisvaldkonna lõikes: (1) õppekava ja õppekavaarendus, (2) ressursid,  (3) õppeprotsess, (4) õppejõud ja (5) üliõpilased. Igas hindamisvaldkonnas </w:t>
      </w:r>
      <w:r w:rsidR="00B92ABA" w:rsidRPr="00453B41">
        <w:rPr>
          <w:rFonts w:asciiTheme="majorHAnsi" w:hAnsiTheme="majorHAnsi" w:cs="Calibri"/>
          <w:lang w:val="et-EE"/>
        </w:rPr>
        <w:t>toob komisjon välj</w:t>
      </w:r>
      <w:r w:rsidR="00016B82" w:rsidRPr="00453B41">
        <w:rPr>
          <w:rFonts w:asciiTheme="majorHAnsi" w:hAnsiTheme="majorHAnsi" w:cs="Calibri"/>
          <w:lang w:val="et-EE"/>
        </w:rPr>
        <w:t>a õppekavade tugevused</w:t>
      </w:r>
      <w:r w:rsidRPr="00453B41">
        <w:rPr>
          <w:rFonts w:asciiTheme="majorHAnsi" w:hAnsiTheme="majorHAnsi" w:cs="Calibri"/>
          <w:lang w:val="et-EE"/>
        </w:rPr>
        <w:t xml:space="preserve"> ning an</w:t>
      </w:r>
      <w:r w:rsidR="00016B82" w:rsidRPr="00453B41">
        <w:rPr>
          <w:rFonts w:asciiTheme="majorHAnsi" w:hAnsiTheme="majorHAnsi" w:cs="Calibri"/>
          <w:lang w:val="et-EE"/>
        </w:rPr>
        <w:t>nab</w:t>
      </w:r>
      <w:r w:rsidRPr="00453B41">
        <w:rPr>
          <w:rFonts w:asciiTheme="majorHAnsi" w:hAnsiTheme="majorHAnsi" w:cs="Calibri"/>
          <w:lang w:val="et-EE"/>
        </w:rPr>
        <w:t xml:space="preserve"> soovitusi valdkonna arendamiseks kõrgkoolis. Õppekavagrupi kvaliteedi hindamise eesmärk on kõrgkooli sisehindamise ja enesearenduse toetamine</w:t>
      </w:r>
      <w:r w:rsidR="00016B82" w:rsidRPr="00453B41">
        <w:rPr>
          <w:rFonts w:asciiTheme="majorHAnsi" w:hAnsiTheme="majorHAnsi" w:cs="Calibri"/>
          <w:lang w:val="et-EE"/>
        </w:rPr>
        <w:t xml:space="preserve">, </w:t>
      </w:r>
      <w:r w:rsidRPr="00453B41">
        <w:rPr>
          <w:rFonts w:asciiTheme="majorHAnsi" w:hAnsiTheme="majorHAnsi" w:cs="Calibri"/>
          <w:lang w:val="et-EE"/>
        </w:rPr>
        <w:t xml:space="preserve">ekspertide hinnangutel on soovitav iseloom. </w:t>
      </w:r>
    </w:p>
    <w:p w:rsidR="0009459F" w:rsidRPr="00453B41" w:rsidRDefault="0009459F" w:rsidP="0009459F">
      <w:pPr>
        <w:pStyle w:val="NormalWeb"/>
        <w:shd w:val="clear" w:color="auto" w:fill="FFFFFF"/>
        <w:spacing w:before="0" w:beforeAutospacing="0" w:after="0" w:afterAutospacing="0" w:line="360" w:lineRule="auto"/>
        <w:jc w:val="both"/>
        <w:rPr>
          <w:rFonts w:asciiTheme="majorHAnsi" w:hAnsiTheme="majorHAnsi" w:cs="Calibri"/>
          <w:b/>
          <w:lang w:val="et-EE"/>
        </w:rPr>
      </w:pPr>
    </w:p>
    <w:p w:rsidR="0009459F" w:rsidRPr="00453B41" w:rsidRDefault="0009459F" w:rsidP="0009459F">
      <w:pPr>
        <w:pStyle w:val="NormalWeb"/>
        <w:shd w:val="clear" w:color="auto" w:fill="FFFFFF"/>
        <w:spacing w:before="0" w:beforeAutospacing="0" w:after="0" w:afterAutospacing="0" w:line="360" w:lineRule="auto"/>
        <w:jc w:val="both"/>
        <w:rPr>
          <w:rFonts w:asciiTheme="majorHAnsi" w:hAnsiTheme="majorHAnsi" w:cs="Calibri"/>
          <w:b/>
          <w:lang w:val="et-EE"/>
        </w:rPr>
      </w:pPr>
      <w:r w:rsidRPr="00453B41">
        <w:rPr>
          <w:rFonts w:asciiTheme="majorHAnsi" w:hAnsiTheme="majorHAnsi" w:cs="Calibri"/>
          <w:b/>
          <w:lang w:val="et-EE"/>
        </w:rPr>
        <w:t>Ülevaade senistest kvaliteedihindamistest</w:t>
      </w:r>
    </w:p>
    <w:p w:rsidR="0051782B" w:rsidRPr="00453B41" w:rsidRDefault="0009459F" w:rsidP="00596A6E">
      <w:pPr>
        <w:pStyle w:val="NormalWeb"/>
        <w:shd w:val="clear" w:color="auto" w:fill="FFFFFF"/>
        <w:spacing w:after="0" w:afterAutospacing="0" w:line="360" w:lineRule="auto"/>
        <w:jc w:val="both"/>
        <w:rPr>
          <w:rFonts w:asciiTheme="majorHAnsi" w:hAnsiTheme="majorHAnsi" w:cs="Calibri"/>
          <w:lang w:val="et-EE"/>
        </w:rPr>
      </w:pPr>
      <w:r w:rsidRPr="00453B41">
        <w:rPr>
          <w:rFonts w:asciiTheme="majorHAnsi" w:hAnsiTheme="majorHAnsi" w:cs="Calibri"/>
          <w:lang w:val="et-EE"/>
        </w:rPr>
        <w:t>Aastatel 2012-2016 osales õ</w:t>
      </w:r>
      <w:r w:rsidR="0051782B" w:rsidRPr="00453B41">
        <w:rPr>
          <w:rFonts w:asciiTheme="majorHAnsi" w:hAnsiTheme="majorHAnsi" w:cs="Calibri"/>
          <w:lang w:val="et-EE"/>
        </w:rPr>
        <w:t>ppekavagruppide kvaliteedihindamise</w:t>
      </w:r>
      <w:r w:rsidRPr="00453B41">
        <w:rPr>
          <w:rFonts w:asciiTheme="majorHAnsi" w:hAnsiTheme="majorHAnsi" w:cs="Calibri"/>
          <w:lang w:val="et-EE"/>
        </w:rPr>
        <w:t>s</w:t>
      </w:r>
      <w:r w:rsidR="0051782B" w:rsidRPr="00453B41">
        <w:rPr>
          <w:rFonts w:asciiTheme="majorHAnsi" w:hAnsiTheme="majorHAnsi" w:cs="Calibri"/>
          <w:lang w:val="et-EE"/>
        </w:rPr>
        <w:t xml:space="preserve"> </w:t>
      </w:r>
      <w:r w:rsidR="00814721" w:rsidRPr="00453B41">
        <w:rPr>
          <w:rFonts w:asciiTheme="majorHAnsi" w:hAnsiTheme="majorHAnsi" w:cs="Calibri"/>
          <w:lang w:val="et-EE"/>
        </w:rPr>
        <w:t>154</w:t>
      </w:r>
      <w:r w:rsidR="00B92ABA" w:rsidRPr="00453B41">
        <w:rPr>
          <w:rFonts w:asciiTheme="majorHAnsi" w:hAnsiTheme="majorHAnsi" w:cs="Calibri"/>
          <w:lang w:val="et-EE"/>
        </w:rPr>
        <w:t xml:space="preserve"> eksperti</w:t>
      </w:r>
      <w:r w:rsidR="00AF323E" w:rsidRPr="00453B41">
        <w:rPr>
          <w:rFonts w:asciiTheme="majorHAnsi" w:hAnsiTheme="majorHAnsi" w:cs="Calibri"/>
          <w:lang w:val="et-EE"/>
        </w:rPr>
        <w:t xml:space="preserve"> </w:t>
      </w:r>
      <w:r w:rsidR="00814721" w:rsidRPr="00453B41">
        <w:rPr>
          <w:rFonts w:asciiTheme="majorHAnsi" w:hAnsiTheme="majorHAnsi" w:cs="Calibri"/>
          <w:lang w:val="et-EE"/>
        </w:rPr>
        <w:t>31</w:t>
      </w:r>
      <w:r w:rsidR="00AF323E" w:rsidRPr="00453B41">
        <w:rPr>
          <w:rFonts w:asciiTheme="majorHAnsi" w:hAnsiTheme="majorHAnsi" w:cs="Calibri"/>
          <w:lang w:val="et-EE"/>
        </w:rPr>
        <w:t xml:space="preserve"> </w:t>
      </w:r>
      <w:r w:rsidR="00B92ABA" w:rsidRPr="00453B41">
        <w:rPr>
          <w:rFonts w:asciiTheme="majorHAnsi" w:hAnsiTheme="majorHAnsi" w:cs="Calibri"/>
          <w:lang w:val="et-EE"/>
        </w:rPr>
        <w:t>välis</w:t>
      </w:r>
      <w:r w:rsidR="00AF323E" w:rsidRPr="00453B41">
        <w:rPr>
          <w:rFonts w:asciiTheme="majorHAnsi" w:hAnsiTheme="majorHAnsi" w:cs="Calibri"/>
          <w:lang w:val="et-EE"/>
        </w:rPr>
        <w:t>riigist</w:t>
      </w:r>
      <w:r w:rsidR="00B92ABA" w:rsidRPr="00453B41">
        <w:rPr>
          <w:rFonts w:asciiTheme="majorHAnsi" w:hAnsiTheme="majorHAnsi" w:cs="Calibri"/>
          <w:lang w:val="et-EE"/>
        </w:rPr>
        <w:t xml:space="preserve">. </w:t>
      </w:r>
      <w:r w:rsidR="00E24B86" w:rsidRPr="00453B41">
        <w:rPr>
          <w:rFonts w:asciiTheme="majorHAnsi" w:hAnsiTheme="majorHAnsi" w:cs="Calibri"/>
          <w:lang w:val="et-EE"/>
        </w:rPr>
        <w:t>Kõige enam eksperte o</w:t>
      </w:r>
      <w:r w:rsidR="00995670" w:rsidRPr="00453B41">
        <w:rPr>
          <w:rFonts w:asciiTheme="majorHAnsi" w:hAnsiTheme="majorHAnsi" w:cs="Calibri"/>
          <w:lang w:val="et-EE"/>
        </w:rPr>
        <w:t>li</w:t>
      </w:r>
      <w:r w:rsidR="00E24B86" w:rsidRPr="00453B41">
        <w:rPr>
          <w:rFonts w:asciiTheme="majorHAnsi" w:hAnsiTheme="majorHAnsi" w:cs="Calibri"/>
          <w:lang w:val="et-EE"/>
        </w:rPr>
        <w:t xml:space="preserve"> Ühendkuningriigist, Soomest, Hollandist, Saksamaalt, Rootsist, Leedust, Lätist, </w:t>
      </w:r>
      <w:r w:rsidR="00995670" w:rsidRPr="00453B41">
        <w:rPr>
          <w:rFonts w:asciiTheme="majorHAnsi" w:hAnsiTheme="majorHAnsi" w:cs="Calibri"/>
          <w:lang w:val="et-EE"/>
        </w:rPr>
        <w:t>Ameerika Ühendriikidest ning Prantsusmaalt.</w:t>
      </w:r>
      <w:r w:rsidR="00E24B86" w:rsidRPr="00453B41">
        <w:rPr>
          <w:rFonts w:asciiTheme="majorHAnsi" w:hAnsiTheme="majorHAnsi" w:cs="Calibri"/>
          <w:lang w:val="et-EE"/>
        </w:rPr>
        <w:t xml:space="preserve"> </w:t>
      </w:r>
      <w:r w:rsidR="00B92ABA" w:rsidRPr="00453B41">
        <w:rPr>
          <w:rFonts w:asciiTheme="majorHAnsi" w:hAnsiTheme="majorHAnsi" w:cs="Calibri"/>
          <w:lang w:val="et-EE"/>
        </w:rPr>
        <w:lastRenderedPageBreak/>
        <w:t xml:space="preserve">Komisjonides osales ka </w:t>
      </w:r>
      <w:r w:rsidR="00814721" w:rsidRPr="00453B41">
        <w:rPr>
          <w:rFonts w:asciiTheme="majorHAnsi" w:hAnsiTheme="majorHAnsi" w:cs="Calibri"/>
          <w:lang w:val="et-EE"/>
        </w:rPr>
        <w:t>31</w:t>
      </w:r>
      <w:r w:rsidR="00B92ABA" w:rsidRPr="00453B41">
        <w:rPr>
          <w:rFonts w:asciiTheme="majorHAnsi" w:hAnsiTheme="majorHAnsi" w:cs="Calibri"/>
          <w:lang w:val="et-EE"/>
        </w:rPr>
        <w:t xml:space="preserve"> Eesti eksperti</w:t>
      </w:r>
      <w:r w:rsidR="00814721" w:rsidRPr="00453B41">
        <w:rPr>
          <w:rFonts w:asciiTheme="majorHAnsi" w:hAnsiTheme="majorHAnsi" w:cs="Calibri"/>
          <w:lang w:val="et-EE"/>
        </w:rPr>
        <w:t xml:space="preserve">. Kõrgkooliväliseid eksperte </w:t>
      </w:r>
      <w:r w:rsidRPr="00453B41">
        <w:rPr>
          <w:rFonts w:asciiTheme="majorHAnsi" w:hAnsiTheme="majorHAnsi" w:cs="Calibri"/>
          <w:lang w:val="et-EE"/>
        </w:rPr>
        <w:t>oli</w:t>
      </w:r>
      <w:r w:rsidR="00814721" w:rsidRPr="00453B41">
        <w:rPr>
          <w:rFonts w:asciiTheme="majorHAnsi" w:hAnsiTheme="majorHAnsi" w:cs="Calibri"/>
          <w:lang w:val="et-EE"/>
        </w:rPr>
        <w:t xml:space="preserve"> 35</w:t>
      </w:r>
      <w:r w:rsidRPr="00453B41">
        <w:rPr>
          <w:rFonts w:asciiTheme="majorHAnsi" w:hAnsiTheme="majorHAnsi" w:cs="Calibri"/>
          <w:lang w:val="et-EE"/>
        </w:rPr>
        <w:t>,</w:t>
      </w:r>
      <w:r w:rsidR="00814721" w:rsidRPr="00453B41">
        <w:rPr>
          <w:rFonts w:asciiTheme="majorHAnsi" w:hAnsiTheme="majorHAnsi" w:cs="Calibri"/>
          <w:lang w:val="et-EE"/>
        </w:rPr>
        <w:t xml:space="preserve"> üliõpilaseksperte 21.</w:t>
      </w:r>
    </w:p>
    <w:p w:rsidR="0009459F" w:rsidRPr="00453B41" w:rsidRDefault="0009459F" w:rsidP="000172C4">
      <w:pPr>
        <w:pStyle w:val="NormalWeb"/>
        <w:shd w:val="clear" w:color="auto" w:fill="FFFFFF"/>
        <w:spacing w:before="0" w:beforeAutospacing="0" w:after="0" w:afterAutospacing="0" w:line="360" w:lineRule="auto"/>
        <w:jc w:val="both"/>
        <w:rPr>
          <w:rFonts w:asciiTheme="majorHAnsi" w:hAnsiTheme="majorHAnsi" w:cs="Calibri"/>
          <w:lang w:val="et-EE"/>
        </w:rPr>
      </w:pPr>
    </w:p>
    <w:p w:rsidR="00862A0F" w:rsidRPr="00453B41" w:rsidRDefault="00995670" w:rsidP="000172C4">
      <w:pPr>
        <w:pStyle w:val="NormalWeb"/>
        <w:shd w:val="clear" w:color="auto" w:fill="FFFFFF"/>
        <w:spacing w:before="0" w:beforeAutospacing="0" w:after="0" w:afterAutospacing="0" w:line="360" w:lineRule="auto"/>
        <w:jc w:val="both"/>
        <w:rPr>
          <w:rFonts w:asciiTheme="majorHAnsi" w:hAnsiTheme="majorHAnsi" w:cs="Calibri"/>
          <w:lang w:val="et-EE"/>
        </w:rPr>
      </w:pPr>
      <w:r w:rsidRPr="00453B41">
        <w:rPr>
          <w:rFonts w:asciiTheme="majorHAnsi" w:hAnsiTheme="majorHAnsi" w:cs="Calibri"/>
          <w:lang w:val="et-EE"/>
        </w:rPr>
        <w:t xml:space="preserve">Kõrghariduse hindamisnõukogu on 2012 – 2016 aastatel läbi viidud hindamiste põhjal  vastu võtnud 60 </w:t>
      </w:r>
      <w:r w:rsidR="000172C4" w:rsidRPr="00453B41">
        <w:rPr>
          <w:rFonts w:asciiTheme="majorHAnsi" w:hAnsiTheme="majorHAnsi" w:cs="Calibri"/>
          <w:lang w:val="et-EE"/>
        </w:rPr>
        <w:t xml:space="preserve">õppekavagrupi </w:t>
      </w:r>
      <w:r w:rsidRPr="00453B41">
        <w:rPr>
          <w:rFonts w:asciiTheme="majorHAnsi" w:hAnsiTheme="majorHAnsi" w:cs="Calibri"/>
          <w:lang w:val="et-EE"/>
        </w:rPr>
        <w:t>hindamisotsust. 33</w:t>
      </w:r>
      <w:r w:rsidR="00913680" w:rsidRPr="00453B41">
        <w:rPr>
          <w:rFonts w:asciiTheme="majorHAnsi" w:hAnsiTheme="majorHAnsi" w:cs="Calibri"/>
          <w:lang w:val="et-EE"/>
        </w:rPr>
        <w:t xml:space="preserve"> juhul</w:t>
      </w:r>
      <w:r w:rsidRPr="00453B41">
        <w:rPr>
          <w:rFonts w:asciiTheme="majorHAnsi" w:hAnsiTheme="majorHAnsi" w:cs="Calibri"/>
          <w:lang w:val="et-EE"/>
        </w:rPr>
        <w:t xml:space="preserve"> </w:t>
      </w:r>
      <w:r w:rsidR="00862A0F" w:rsidRPr="00453B41">
        <w:rPr>
          <w:rFonts w:asciiTheme="majorHAnsi" w:hAnsiTheme="majorHAnsi" w:cs="Calibri"/>
          <w:lang w:val="et-EE"/>
        </w:rPr>
        <w:t xml:space="preserve">otsustas hindamisnõukogu, et järgmine hindamine toimub 7 aasta pärast, </w:t>
      </w:r>
      <w:r w:rsidRPr="00453B41">
        <w:rPr>
          <w:rFonts w:asciiTheme="majorHAnsi" w:hAnsiTheme="majorHAnsi" w:cs="Calibri"/>
          <w:lang w:val="et-EE"/>
        </w:rPr>
        <w:t xml:space="preserve">9 </w:t>
      </w:r>
      <w:r w:rsidR="00913680" w:rsidRPr="00453B41">
        <w:rPr>
          <w:rFonts w:asciiTheme="majorHAnsi" w:hAnsiTheme="majorHAnsi" w:cs="Calibri"/>
          <w:lang w:val="et-EE"/>
        </w:rPr>
        <w:t>juhul</w:t>
      </w:r>
      <w:r w:rsidRPr="00453B41">
        <w:rPr>
          <w:rFonts w:asciiTheme="majorHAnsi" w:hAnsiTheme="majorHAnsi" w:cs="Calibri"/>
          <w:lang w:val="et-EE"/>
        </w:rPr>
        <w:t xml:space="preserve"> </w:t>
      </w:r>
      <w:r w:rsidR="00862A0F" w:rsidRPr="00453B41">
        <w:rPr>
          <w:rFonts w:asciiTheme="majorHAnsi" w:hAnsiTheme="majorHAnsi" w:cs="Calibri"/>
          <w:lang w:val="et-EE"/>
        </w:rPr>
        <w:t xml:space="preserve">vähem kui 7 aasta pärast. </w:t>
      </w:r>
      <w:r w:rsidRPr="00453B41">
        <w:rPr>
          <w:rFonts w:asciiTheme="majorHAnsi" w:hAnsiTheme="majorHAnsi" w:cs="Calibri"/>
          <w:lang w:val="et-EE"/>
        </w:rPr>
        <w:t>Kaheksateistkümnel</w:t>
      </w:r>
      <w:r w:rsidR="00913680" w:rsidRPr="00453B41">
        <w:rPr>
          <w:rFonts w:asciiTheme="majorHAnsi" w:hAnsiTheme="majorHAnsi" w:cs="Calibri"/>
          <w:lang w:val="et-EE"/>
        </w:rPr>
        <w:t xml:space="preserve"> korral</w:t>
      </w:r>
      <w:r w:rsidRPr="00453B41">
        <w:rPr>
          <w:rFonts w:asciiTheme="majorHAnsi" w:hAnsiTheme="majorHAnsi" w:cs="Calibri"/>
          <w:lang w:val="et-EE"/>
        </w:rPr>
        <w:t xml:space="preserve"> </w:t>
      </w:r>
      <w:r w:rsidR="00862A0F" w:rsidRPr="00453B41">
        <w:rPr>
          <w:rFonts w:asciiTheme="majorHAnsi" w:hAnsiTheme="majorHAnsi" w:cs="Calibri"/>
          <w:lang w:val="et-EE"/>
        </w:rPr>
        <w:t xml:space="preserve">otsustas nõukogu, et järgmine hindamine toimub 7 aasta pärast kõrvaltingimusega. </w:t>
      </w:r>
      <w:r w:rsidR="0020422B" w:rsidRPr="00453B41">
        <w:rPr>
          <w:rFonts w:asciiTheme="majorHAnsi" w:hAnsiTheme="majorHAnsi" w:cs="Calibri"/>
          <w:lang w:val="et-EE"/>
        </w:rPr>
        <w:t>Hindamisnõukogu võib seada otsuse juurde kõrvaltingimuse, kui õppekavagrupis esineb mõni konkreetne mittevastavus õigusaktidele või standarditele, mis nõukogu hinnangul on kõrvaldatav kuni kahe aasta jooksul ja tulemus hinnatav ilma välisekspertide abita.</w:t>
      </w:r>
    </w:p>
    <w:p w:rsidR="00DF5871" w:rsidRPr="00453B41" w:rsidRDefault="00DF5871" w:rsidP="0009459F">
      <w:pPr>
        <w:spacing w:line="360" w:lineRule="auto"/>
        <w:rPr>
          <w:rFonts w:asciiTheme="majorHAnsi" w:hAnsiTheme="majorHAnsi"/>
          <w:b/>
          <w:sz w:val="24"/>
          <w:szCs w:val="24"/>
        </w:rPr>
      </w:pPr>
    </w:p>
    <w:p w:rsidR="0009459F" w:rsidRPr="00453B41" w:rsidRDefault="0009459F" w:rsidP="0009459F">
      <w:pPr>
        <w:spacing w:line="360" w:lineRule="auto"/>
        <w:rPr>
          <w:rFonts w:asciiTheme="majorHAnsi" w:hAnsiTheme="majorHAnsi"/>
          <w:b/>
        </w:rPr>
      </w:pPr>
      <w:r w:rsidRPr="00453B41">
        <w:rPr>
          <w:rFonts w:asciiTheme="majorHAnsi" w:hAnsiTheme="majorHAnsi"/>
          <w:b/>
          <w:sz w:val="24"/>
          <w:szCs w:val="24"/>
        </w:rPr>
        <w:t xml:space="preserve">Joonis 1. </w:t>
      </w:r>
      <w:r w:rsidRPr="00453B41">
        <w:rPr>
          <w:rFonts w:asciiTheme="majorHAnsi" w:eastAsia="Times New Roman" w:hAnsiTheme="majorHAnsi" w:cs="Calibri"/>
          <w:sz w:val="24"/>
          <w:szCs w:val="24"/>
          <w:lang w:eastAsia="en-GB"/>
        </w:rPr>
        <w:t>Õppekavagruppide kvaliteedi hindamise otsused 2013-2016</w:t>
      </w:r>
    </w:p>
    <w:p w:rsidR="0009459F" w:rsidRPr="00453B41" w:rsidRDefault="0009459F" w:rsidP="00596A6E">
      <w:pPr>
        <w:pStyle w:val="NormalWeb"/>
        <w:shd w:val="clear" w:color="auto" w:fill="FFFFFF"/>
        <w:spacing w:after="0" w:line="360" w:lineRule="auto"/>
        <w:jc w:val="both"/>
        <w:rPr>
          <w:rFonts w:asciiTheme="majorHAnsi" w:hAnsiTheme="majorHAnsi" w:cs="Calibri"/>
          <w:lang w:val="et-EE"/>
        </w:rPr>
      </w:pPr>
      <w:r w:rsidRPr="00453B41">
        <w:rPr>
          <w:rFonts w:asciiTheme="majorHAnsi" w:hAnsiTheme="majorHAnsi"/>
          <w:b/>
          <w:noProof/>
          <w:shd w:val="clear" w:color="auto" w:fill="EAF1DD" w:themeFill="accent3" w:themeFillTint="33"/>
          <w:lang w:val="et-EE" w:eastAsia="et-EE"/>
        </w:rPr>
        <w:drawing>
          <wp:inline distT="0" distB="0" distL="0" distR="0" wp14:anchorId="4DA7DEEF" wp14:editId="3C205EAD">
            <wp:extent cx="3904090" cy="2162755"/>
            <wp:effectExtent l="0" t="0" r="20320" b="952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5871" w:rsidRPr="00453B41" w:rsidRDefault="00DF5871" w:rsidP="00596A6E">
      <w:pPr>
        <w:pStyle w:val="NormalWeb"/>
        <w:shd w:val="clear" w:color="auto" w:fill="FFFFFF"/>
        <w:spacing w:before="0" w:beforeAutospacing="0" w:after="0" w:afterAutospacing="0" w:line="360" w:lineRule="auto"/>
        <w:jc w:val="both"/>
        <w:rPr>
          <w:rFonts w:asciiTheme="majorHAnsi" w:hAnsiTheme="majorHAnsi" w:cs="Calibri"/>
          <w:lang w:val="et-EE"/>
        </w:rPr>
      </w:pPr>
      <w:r w:rsidRPr="00453B41">
        <w:rPr>
          <w:rFonts w:asciiTheme="majorHAnsi" w:hAnsiTheme="majorHAnsi" w:cs="Calibri"/>
          <w:lang w:val="et-EE"/>
        </w:rPr>
        <w:t>Hindamised toimusid 21 õppekavagrupis. Alljärgnev tabel võtab kokku hindamistulemused õppekavagruppide</w:t>
      </w:r>
      <w:r w:rsidR="00F97352" w:rsidRPr="00453B41">
        <w:rPr>
          <w:rFonts w:asciiTheme="majorHAnsi" w:hAnsiTheme="majorHAnsi" w:cs="Calibri"/>
          <w:lang w:val="et-EE"/>
        </w:rPr>
        <w:t xml:space="preserve"> ja kõrgkoolide</w:t>
      </w:r>
      <w:r w:rsidRPr="00453B41">
        <w:rPr>
          <w:rFonts w:asciiTheme="majorHAnsi" w:hAnsiTheme="majorHAnsi" w:cs="Calibri"/>
          <w:lang w:val="et-EE"/>
        </w:rPr>
        <w:t xml:space="preserve"> lõikes. Maksimaalselt positiivsed olid hindamis</w:t>
      </w:r>
      <w:r w:rsidR="0093197D">
        <w:rPr>
          <w:rFonts w:asciiTheme="majorHAnsi" w:hAnsiTheme="majorHAnsi" w:cs="Calibri"/>
          <w:lang w:val="et-EE"/>
        </w:rPr>
        <w:t>tulemused informaatika ja infot</w:t>
      </w:r>
      <w:r w:rsidRPr="00453B41">
        <w:rPr>
          <w:rFonts w:asciiTheme="majorHAnsi" w:hAnsiTheme="majorHAnsi" w:cs="Calibri"/>
          <w:lang w:val="et-EE"/>
        </w:rPr>
        <w:t xml:space="preserve">ehnoloogia, humanitaaria, psühholoogia ja spordi õppekavagruppides, </w:t>
      </w:r>
      <w:r w:rsidR="00F97352" w:rsidRPr="00453B41">
        <w:rPr>
          <w:rFonts w:asciiTheme="majorHAnsi" w:hAnsiTheme="majorHAnsi" w:cs="Calibri"/>
          <w:lang w:val="et-EE"/>
        </w:rPr>
        <w:t>kuigi ka nendel juhtudel jagasid komisjonid hulgaliselt soovitusi õppe kvaliteedi edendamiseks. Kõrvaltingimuse lisas hindamisnõukogu reeglina juhul, kui suures õppekavagrupis oli probleeme mõne üksiku õppekavaga – kas siis õppekava sisu, õppejõudu</w:t>
      </w:r>
      <w:r w:rsidR="00FB4563" w:rsidRPr="00453B41">
        <w:rPr>
          <w:rFonts w:asciiTheme="majorHAnsi" w:hAnsiTheme="majorHAnsi" w:cs="Calibri"/>
          <w:lang w:val="et-EE"/>
        </w:rPr>
        <w:t>de taseme või ka üliõpilaste üha</w:t>
      </w:r>
      <w:r w:rsidR="00F97352" w:rsidRPr="00453B41">
        <w:rPr>
          <w:rFonts w:asciiTheme="majorHAnsi" w:hAnsiTheme="majorHAnsi" w:cs="Calibri"/>
          <w:lang w:val="et-EE"/>
        </w:rPr>
        <w:t xml:space="preserve"> väheneva arvuga. </w:t>
      </w:r>
      <w:r w:rsidR="00FB4563" w:rsidRPr="00453B41">
        <w:rPr>
          <w:rFonts w:asciiTheme="majorHAnsi" w:hAnsiTheme="majorHAnsi" w:cs="Calibri"/>
          <w:lang w:val="et-EE"/>
        </w:rPr>
        <w:t>Lühem periood rakendus väga erinevatel põhjustel, kuid enamasti juhul, kui kõrgkoolis oli hinnatavas õppekavagrupis vähe õppekavu ning sarnased probleemid kordusid kõikide puhul (</w:t>
      </w:r>
      <w:r w:rsidR="00643374" w:rsidRPr="00453B41">
        <w:rPr>
          <w:rFonts w:asciiTheme="majorHAnsi" w:hAnsiTheme="majorHAnsi" w:cs="Calibri"/>
          <w:lang w:val="et-EE"/>
        </w:rPr>
        <w:t xml:space="preserve">näiteks </w:t>
      </w:r>
      <w:r w:rsidR="00FB4563" w:rsidRPr="00453B41">
        <w:rPr>
          <w:rFonts w:asciiTheme="majorHAnsi" w:hAnsiTheme="majorHAnsi" w:cs="Calibri"/>
          <w:lang w:val="et-EE"/>
        </w:rPr>
        <w:t xml:space="preserve">Eesti Maaülikooli tehnika, tootmise ja tehnoloogia õppekavad,  </w:t>
      </w:r>
      <w:r w:rsidR="00FB4563" w:rsidRPr="00453B41">
        <w:rPr>
          <w:rFonts w:asciiTheme="majorHAnsi" w:hAnsiTheme="majorHAnsi" w:cs="Calibri"/>
          <w:lang w:val="et-EE"/>
        </w:rPr>
        <w:lastRenderedPageBreak/>
        <w:t xml:space="preserve">Euroakadeemia </w:t>
      </w:r>
      <w:r w:rsidR="00643374" w:rsidRPr="00453B41">
        <w:rPr>
          <w:rFonts w:asciiTheme="majorHAnsi" w:hAnsiTheme="majorHAnsi" w:cs="Calibri"/>
          <w:lang w:val="et-EE"/>
        </w:rPr>
        <w:t xml:space="preserve">ja Tallinna Tehnikaülikooli </w:t>
      </w:r>
      <w:r w:rsidR="00FB4563" w:rsidRPr="00453B41">
        <w:rPr>
          <w:rFonts w:asciiTheme="majorHAnsi" w:hAnsiTheme="majorHAnsi" w:cs="Calibri"/>
          <w:lang w:val="et-EE"/>
        </w:rPr>
        <w:t>keskkonnahoiu õppekavad, Lääne-Viru rakenduskõrgkooli sotsiaalteenuste</w:t>
      </w:r>
      <w:r w:rsidR="00643374" w:rsidRPr="00453B41">
        <w:rPr>
          <w:rFonts w:asciiTheme="majorHAnsi" w:hAnsiTheme="majorHAnsi" w:cs="Calibri"/>
          <w:lang w:val="et-EE"/>
        </w:rPr>
        <w:t xml:space="preserve"> õppekava). </w:t>
      </w:r>
      <w:r w:rsidR="00FB4563" w:rsidRPr="00453B41">
        <w:rPr>
          <w:rFonts w:asciiTheme="majorHAnsi" w:hAnsiTheme="majorHAnsi" w:cs="Calibri"/>
          <w:lang w:val="et-EE"/>
        </w:rPr>
        <w:t xml:space="preserve">  </w:t>
      </w:r>
      <w:r w:rsidR="000E78A2" w:rsidRPr="00453B41">
        <w:rPr>
          <w:rFonts w:asciiTheme="majorHAnsi" w:hAnsiTheme="majorHAnsi" w:cs="Calibri"/>
          <w:lang w:val="et-EE"/>
        </w:rPr>
        <w:t>Tehnikaülikooli transporditeenuste õppekavagrupi</w:t>
      </w:r>
      <w:r w:rsidR="00391380" w:rsidRPr="00453B41">
        <w:rPr>
          <w:rFonts w:asciiTheme="majorHAnsi" w:hAnsiTheme="majorHAnsi" w:cs="Calibri"/>
          <w:lang w:val="et-EE"/>
        </w:rPr>
        <w:t xml:space="preserve"> lühema perioodi tingis eelkõige mereakadeemia äsjane liitumine ülikooliga. Tartu Ülikooli meditsiini õppekavagrupis ei pööratud komisjoni hinnangul piisavat tähelepanu </w:t>
      </w:r>
      <w:r w:rsidR="00022D83" w:rsidRPr="00453B41">
        <w:rPr>
          <w:rFonts w:asciiTheme="majorHAnsi" w:hAnsiTheme="majorHAnsi" w:cs="Calibri"/>
          <w:lang w:val="et-EE"/>
        </w:rPr>
        <w:t>tulevaste arstide</w:t>
      </w:r>
      <w:r w:rsidR="00391380" w:rsidRPr="00453B41">
        <w:rPr>
          <w:rFonts w:asciiTheme="majorHAnsi" w:hAnsiTheme="majorHAnsi" w:cs="Calibri"/>
          <w:lang w:val="et-EE"/>
        </w:rPr>
        <w:t xml:space="preserve"> sotsiaalsete oskuste ja patsiendikesk</w:t>
      </w:r>
      <w:r w:rsidR="00D101DF">
        <w:rPr>
          <w:rFonts w:asciiTheme="majorHAnsi" w:hAnsiTheme="majorHAnsi" w:cs="Calibri"/>
          <w:lang w:val="et-EE"/>
        </w:rPr>
        <w:t>s</w:t>
      </w:r>
      <w:r w:rsidR="00391380" w:rsidRPr="00453B41">
        <w:rPr>
          <w:rFonts w:asciiTheme="majorHAnsi" w:hAnsiTheme="majorHAnsi" w:cs="Calibri"/>
          <w:lang w:val="et-EE"/>
        </w:rPr>
        <w:t xml:space="preserve">e hoiaku </w:t>
      </w:r>
      <w:r w:rsidR="00022D83" w:rsidRPr="00453B41">
        <w:rPr>
          <w:rFonts w:asciiTheme="majorHAnsi" w:hAnsiTheme="majorHAnsi" w:cs="Calibri"/>
          <w:lang w:val="et-EE"/>
        </w:rPr>
        <w:t>kujundamisele</w:t>
      </w:r>
      <w:r w:rsidR="00391380" w:rsidRPr="00453B41">
        <w:rPr>
          <w:rFonts w:asciiTheme="majorHAnsi" w:hAnsiTheme="majorHAnsi" w:cs="Calibri"/>
          <w:lang w:val="et-EE"/>
        </w:rPr>
        <w:t xml:space="preserve">. </w:t>
      </w:r>
      <w:r w:rsidR="00022D83" w:rsidRPr="00453B41">
        <w:rPr>
          <w:rFonts w:asciiTheme="majorHAnsi" w:hAnsiTheme="majorHAnsi" w:cs="Calibri"/>
          <w:lang w:val="et-EE"/>
        </w:rPr>
        <w:t>Kõige kriitilisemad olid rahvusvaheliste ekspertide hinnang</w:t>
      </w:r>
      <w:r w:rsidR="00DB1613" w:rsidRPr="00453B41">
        <w:rPr>
          <w:rFonts w:asciiTheme="majorHAnsi" w:hAnsiTheme="majorHAnsi" w:cs="Calibri"/>
          <w:lang w:val="et-EE"/>
        </w:rPr>
        <w:t xml:space="preserve">ud keskkonnahoiu, </w:t>
      </w:r>
      <w:r w:rsidR="00022D83" w:rsidRPr="00453B41">
        <w:rPr>
          <w:rFonts w:asciiTheme="majorHAnsi" w:hAnsiTheme="majorHAnsi" w:cs="Calibri"/>
          <w:lang w:val="et-EE"/>
        </w:rPr>
        <w:t>sotsiaalteenuste</w:t>
      </w:r>
      <w:r w:rsidR="00DB1613" w:rsidRPr="00453B41">
        <w:rPr>
          <w:rFonts w:asciiTheme="majorHAnsi" w:hAnsiTheme="majorHAnsi" w:cs="Calibri"/>
          <w:lang w:val="et-EE"/>
        </w:rPr>
        <w:t xml:space="preserve"> ja isikuteeninduse õppekavadele Eestis, juurprobleemideks killustatus, tipptasemel õppejõudude vähesus, kasin koostöö kõrgkoolide vahel ja rahvusvahelisel tasandil.</w:t>
      </w:r>
    </w:p>
    <w:p w:rsidR="00DF5871" w:rsidRPr="00453B41" w:rsidRDefault="00DF5871" w:rsidP="00596A6E">
      <w:pPr>
        <w:pStyle w:val="NormalWeb"/>
        <w:shd w:val="clear" w:color="auto" w:fill="FFFFFF"/>
        <w:spacing w:before="0" w:beforeAutospacing="0" w:after="0" w:afterAutospacing="0" w:line="360" w:lineRule="auto"/>
        <w:jc w:val="both"/>
        <w:rPr>
          <w:rFonts w:asciiTheme="majorHAnsi" w:hAnsiTheme="majorHAnsi" w:cs="Calibri"/>
          <w:lang w:val="et-EE"/>
        </w:rPr>
      </w:pPr>
    </w:p>
    <w:p w:rsidR="00DF3FC5" w:rsidRPr="00453B41" w:rsidRDefault="0020422B" w:rsidP="00596A6E">
      <w:pPr>
        <w:pStyle w:val="NormalWeb"/>
        <w:shd w:val="clear" w:color="auto" w:fill="FFFFFF"/>
        <w:spacing w:before="0" w:beforeAutospacing="0" w:after="0" w:afterAutospacing="0" w:line="360" w:lineRule="auto"/>
        <w:jc w:val="both"/>
        <w:rPr>
          <w:rFonts w:asciiTheme="majorHAnsi" w:hAnsiTheme="majorHAnsi"/>
          <w:b/>
          <w:lang w:val="et-EE"/>
        </w:rPr>
      </w:pPr>
      <w:r w:rsidRPr="00453B41">
        <w:rPr>
          <w:rFonts w:asciiTheme="majorHAnsi" w:hAnsiTheme="majorHAnsi" w:cs="Calibri"/>
          <w:b/>
          <w:lang w:val="et-EE"/>
        </w:rPr>
        <w:t xml:space="preserve">Tabel 1. </w:t>
      </w:r>
      <w:r w:rsidR="00206C55" w:rsidRPr="00453B41">
        <w:rPr>
          <w:rFonts w:asciiTheme="majorHAnsi" w:hAnsiTheme="majorHAnsi"/>
          <w:lang w:val="et-EE"/>
        </w:rPr>
        <w:t xml:space="preserve">Õppekavagruppide </w:t>
      </w:r>
      <w:r w:rsidR="00E24B86" w:rsidRPr="00453B41">
        <w:rPr>
          <w:rFonts w:asciiTheme="majorHAnsi" w:hAnsiTheme="majorHAnsi"/>
          <w:lang w:val="et-EE"/>
        </w:rPr>
        <w:t xml:space="preserve">kvaliteedi hindamise </w:t>
      </w:r>
      <w:r w:rsidR="001B2FAD" w:rsidRPr="00453B41">
        <w:rPr>
          <w:rFonts w:asciiTheme="majorHAnsi" w:hAnsiTheme="majorHAnsi"/>
          <w:lang w:val="et-EE"/>
        </w:rPr>
        <w:t>otsused</w:t>
      </w:r>
      <w:r w:rsidR="00F97352" w:rsidRPr="00453B41">
        <w:rPr>
          <w:rFonts w:asciiTheme="majorHAnsi" w:hAnsiTheme="majorHAnsi"/>
          <w:lang w:val="et-EE"/>
        </w:rPr>
        <w:t xml:space="preserve"> õppekavagruppide ja kõrgkoolide lõikes</w:t>
      </w:r>
      <w:r w:rsidR="00206C55" w:rsidRPr="00453B41">
        <w:rPr>
          <w:rFonts w:asciiTheme="majorHAnsi" w:hAnsiTheme="majorHAnsi"/>
          <w:lang w:val="et-EE"/>
        </w:rPr>
        <w:t xml:space="preserve"> (</w:t>
      </w:r>
      <w:r w:rsidR="00E24B86" w:rsidRPr="00453B41">
        <w:rPr>
          <w:rFonts w:asciiTheme="majorHAnsi" w:hAnsiTheme="majorHAnsi"/>
          <w:lang w:val="et-EE"/>
        </w:rPr>
        <w:t>201</w:t>
      </w:r>
      <w:r w:rsidR="00995670" w:rsidRPr="00453B41">
        <w:rPr>
          <w:rFonts w:asciiTheme="majorHAnsi" w:hAnsiTheme="majorHAnsi"/>
          <w:lang w:val="et-EE"/>
        </w:rPr>
        <w:t>3</w:t>
      </w:r>
      <w:r w:rsidR="00E24B86" w:rsidRPr="00453B41">
        <w:rPr>
          <w:rFonts w:asciiTheme="majorHAnsi" w:hAnsiTheme="majorHAnsi"/>
          <w:lang w:val="et-EE"/>
        </w:rPr>
        <w:t xml:space="preserve"> -2016</w:t>
      </w:r>
      <w:r w:rsidR="00206C55" w:rsidRPr="00453B41">
        <w:rPr>
          <w:rFonts w:asciiTheme="majorHAnsi" w:hAnsiTheme="majorHAnsi"/>
          <w:lang w:val="et-EE"/>
        </w:rPr>
        <w:t>)</w:t>
      </w:r>
    </w:p>
    <w:p w:rsidR="0020422B" w:rsidRPr="00453B41" w:rsidRDefault="0020422B" w:rsidP="00596A6E">
      <w:pPr>
        <w:pStyle w:val="NormalWeb"/>
        <w:shd w:val="clear" w:color="auto" w:fill="FFFFFF"/>
        <w:spacing w:before="0" w:beforeAutospacing="0" w:after="0" w:afterAutospacing="0" w:line="360" w:lineRule="auto"/>
        <w:jc w:val="both"/>
        <w:rPr>
          <w:rFonts w:asciiTheme="majorHAnsi" w:hAnsiTheme="majorHAnsi"/>
          <w:b/>
          <w:lang w:val="et-EE"/>
        </w:rPr>
      </w:pPr>
      <w:r w:rsidRPr="00453B41">
        <w:rPr>
          <w:rFonts w:asciiTheme="majorHAnsi" w:hAnsiTheme="majorHAnsi"/>
          <w:lang w:val="et-EE"/>
        </w:rPr>
        <w:t xml:space="preserve">EKKA kõrghariduse hindamisnõukogu otsus: </w:t>
      </w:r>
      <w:r w:rsidRPr="00453B41">
        <w:rPr>
          <w:rFonts w:asciiTheme="majorHAnsi" w:hAnsiTheme="majorHAnsi"/>
          <w:shd w:val="clear" w:color="auto" w:fill="92D050"/>
          <w:lang w:val="et-EE"/>
        </w:rPr>
        <w:t>7 aastat</w:t>
      </w:r>
      <w:r w:rsidRPr="00453B41">
        <w:rPr>
          <w:rFonts w:asciiTheme="majorHAnsi" w:hAnsiTheme="majorHAnsi"/>
          <w:lang w:val="et-EE"/>
        </w:rPr>
        <w:t xml:space="preserve"> </w:t>
      </w:r>
      <w:r w:rsidRPr="00453B41">
        <w:rPr>
          <w:rFonts w:asciiTheme="majorHAnsi" w:hAnsiTheme="majorHAnsi"/>
          <w:shd w:val="clear" w:color="auto" w:fill="EAF1DD" w:themeFill="accent3" w:themeFillTint="33"/>
          <w:lang w:val="et-EE"/>
        </w:rPr>
        <w:t>7 aastat kõrvaltingimusega</w:t>
      </w:r>
      <w:r w:rsidRPr="00453B41">
        <w:rPr>
          <w:rFonts w:asciiTheme="majorHAnsi" w:hAnsiTheme="majorHAnsi"/>
          <w:lang w:val="et-EE"/>
        </w:rPr>
        <w:t xml:space="preserve"> </w:t>
      </w:r>
      <w:r w:rsidRPr="00453B41">
        <w:rPr>
          <w:rFonts w:asciiTheme="majorHAnsi" w:hAnsiTheme="majorHAnsi"/>
          <w:shd w:val="clear" w:color="auto" w:fill="FDE9D9" w:themeFill="accent6" w:themeFillTint="33"/>
          <w:lang w:val="et-EE"/>
        </w:rPr>
        <w:t>vähem kui 7 aastat</w:t>
      </w:r>
    </w:p>
    <w:tbl>
      <w:tblPr>
        <w:tblStyle w:val="TableGrid"/>
        <w:tblW w:w="10031" w:type="dxa"/>
        <w:tblLayout w:type="fixed"/>
        <w:tblLook w:val="04A0" w:firstRow="1" w:lastRow="0" w:firstColumn="1" w:lastColumn="0" w:noHBand="0" w:noVBand="1"/>
      </w:tblPr>
      <w:tblGrid>
        <w:gridCol w:w="4077"/>
        <w:gridCol w:w="1276"/>
        <w:gridCol w:w="1418"/>
        <w:gridCol w:w="992"/>
        <w:gridCol w:w="709"/>
        <w:gridCol w:w="567"/>
        <w:gridCol w:w="283"/>
        <w:gridCol w:w="709"/>
      </w:tblGrid>
      <w:tr w:rsidR="003B36A5" w:rsidRPr="00453B41" w:rsidTr="003D60FC">
        <w:tc>
          <w:tcPr>
            <w:tcW w:w="4077" w:type="dxa"/>
            <w:shd w:val="clear" w:color="auto" w:fill="auto"/>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Bio- ja keskkonnateadused</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bottom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709" w:type="dxa"/>
            <w:tcBorders>
              <w:bottom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EMÜ</w:t>
            </w:r>
          </w:p>
        </w:tc>
        <w:tc>
          <w:tcPr>
            <w:tcW w:w="567" w:type="dxa"/>
            <w:tcBorders>
              <w:top w:val="nil"/>
              <w:bottom w:val="nil"/>
              <w:right w:val="nil"/>
            </w:tcBorders>
            <w:shd w:val="clear" w:color="auto" w:fill="auto"/>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auto"/>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auto"/>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Füüsikalised loodusteadused</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992" w:type="dxa"/>
            <w:tcBorders>
              <w:bottom w:val="nil"/>
              <w:right w:val="nil"/>
            </w:tcBorders>
            <w:shd w:val="clear" w:color="auto" w:fill="auto"/>
          </w:tcPr>
          <w:p w:rsidR="003B36A5" w:rsidRPr="00955EF8" w:rsidRDefault="003B36A5" w:rsidP="003D60FC">
            <w:pPr>
              <w:spacing w:line="360" w:lineRule="auto"/>
              <w:rPr>
                <w:rFonts w:asciiTheme="majorHAnsi" w:hAnsiTheme="majorHAnsi"/>
                <w:sz w:val="24"/>
                <w:szCs w:val="24"/>
              </w:rPr>
            </w:pPr>
          </w:p>
        </w:tc>
        <w:tc>
          <w:tcPr>
            <w:tcW w:w="709" w:type="dxa"/>
            <w:tcBorders>
              <w:left w:val="nil"/>
              <w:bottom w:val="nil"/>
              <w:right w:val="nil"/>
            </w:tcBorders>
            <w:shd w:val="clear" w:color="auto" w:fill="auto"/>
          </w:tcPr>
          <w:p w:rsidR="003B36A5" w:rsidRPr="00955EF8"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shd w:val="clear" w:color="auto" w:fill="auto"/>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auto"/>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Humanitaaria</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top w:val="nil"/>
              <w:bottom w:val="single" w:sz="4" w:space="0" w:color="auto"/>
              <w:right w:val="nil"/>
            </w:tcBorders>
            <w:shd w:val="clear" w:color="auto" w:fill="FFFFFF" w:themeFill="background1"/>
          </w:tcPr>
          <w:p w:rsidR="003B36A5" w:rsidRPr="00955EF8" w:rsidRDefault="003B36A5" w:rsidP="003D60FC">
            <w:pPr>
              <w:spacing w:line="360" w:lineRule="auto"/>
              <w:rPr>
                <w:rFonts w:asciiTheme="majorHAnsi" w:hAnsiTheme="majorHAnsi"/>
                <w:sz w:val="24"/>
                <w:szCs w:val="24"/>
              </w:rPr>
            </w:pPr>
          </w:p>
        </w:tc>
        <w:tc>
          <w:tcPr>
            <w:tcW w:w="709" w:type="dxa"/>
            <w:tcBorders>
              <w:top w:val="nil"/>
              <w:left w:val="nil"/>
              <w:bottom w:val="single" w:sz="4" w:space="0" w:color="auto"/>
              <w:right w:val="nil"/>
            </w:tcBorders>
            <w:shd w:val="clear" w:color="auto" w:fill="FFFFFF" w:themeFill="background1"/>
          </w:tcPr>
          <w:p w:rsidR="003B36A5" w:rsidRPr="00955EF8"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Pr>
                <w:rFonts w:asciiTheme="majorHAnsi" w:hAnsiTheme="majorHAnsi"/>
                <w:sz w:val="24"/>
                <w:szCs w:val="24"/>
              </w:rPr>
              <w:t>IKT</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bottom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709" w:type="dxa"/>
            <w:tcBorders>
              <w:bottom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ITK</w:t>
            </w:r>
          </w:p>
        </w:tc>
        <w:tc>
          <w:tcPr>
            <w:tcW w:w="567" w:type="dxa"/>
            <w:tcBorders>
              <w:top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Isikuteenindus</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992" w:type="dxa"/>
            <w:tcBorders>
              <w:top w:val="single" w:sz="4" w:space="0" w:color="auto"/>
            </w:tcBorders>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709" w:type="dxa"/>
            <w:tcBorders>
              <w:top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Keeled ja kultuurid</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top w:val="single" w:sz="4" w:space="0" w:color="auto"/>
            </w:tcBorders>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EA</w:t>
            </w:r>
          </w:p>
        </w:tc>
        <w:tc>
          <w:tcPr>
            <w:tcW w:w="709" w:type="dxa"/>
            <w:tcBorders>
              <w:top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Keskkonnahoid</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bottom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EMÜ</w:t>
            </w:r>
          </w:p>
        </w:tc>
        <w:tc>
          <w:tcPr>
            <w:tcW w:w="709" w:type="dxa"/>
            <w:tcBorders>
              <w:bottom w:val="single" w:sz="4" w:space="0" w:color="auto"/>
            </w:tcBorders>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567" w:type="dxa"/>
            <w:tcBorders>
              <w:bottom w:val="single" w:sz="4" w:space="0" w:color="auto"/>
            </w:tcBorders>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EA</w:t>
            </w:r>
          </w:p>
        </w:tc>
        <w:tc>
          <w:tcPr>
            <w:tcW w:w="992" w:type="dxa"/>
            <w:gridSpan w:val="2"/>
            <w:tcBorders>
              <w:top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Meditsiin</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w:t>
            </w:r>
            <w:r>
              <w:rPr>
                <w:rFonts w:asciiTheme="majorHAnsi" w:hAnsiTheme="majorHAnsi"/>
                <w:sz w:val="24"/>
                <w:szCs w:val="24"/>
              </w:rPr>
              <w:t xml:space="preserve">ln </w:t>
            </w:r>
            <w:r w:rsidRPr="00453B41">
              <w:rPr>
                <w:rFonts w:asciiTheme="majorHAnsi" w:hAnsiTheme="majorHAnsi"/>
                <w:sz w:val="24"/>
                <w:szCs w:val="24"/>
              </w:rPr>
              <w:t>THKK</w:t>
            </w:r>
          </w:p>
        </w:tc>
        <w:tc>
          <w:tcPr>
            <w:tcW w:w="1418" w:type="dxa"/>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992" w:type="dxa"/>
            <w:tcBorders>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auto"/>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Psühholoogia</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tcBorders>
              <w:bottom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top w:val="nil"/>
              <w:bottom w:val="nil"/>
              <w:right w:val="nil"/>
            </w:tcBorders>
            <w:shd w:val="clear" w:color="auto" w:fill="auto"/>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Põllumajandus, metsandus, kalandus</w:t>
            </w:r>
          </w:p>
        </w:tc>
        <w:tc>
          <w:tcPr>
            <w:tcW w:w="1276"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EMÜ</w:t>
            </w:r>
          </w:p>
        </w:tc>
        <w:tc>
          <w:tcPr>
            <w:tcW w:w="1418" w:type="dxa"/>
            <w:tcBorders>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Sisekaitse</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SKA</w:t>
            </w:r>
          </w:p>
        </w:tc>
        <w:tc>
          <w:tcPr>
            <w:tcW w:w="1418" w:type="dxa"/>
            <w:tcBorders>
              <w:top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tcBorders>
              <w:top w:val="nil"/>
              <w:left w:val="nil"/>
              <w:bottom w:val="single" w:sz="4" w:space="0" w:color="auto"/>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Sotsiaalteadused</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992" w:type="dxa"/>
            <w:tcBorders>
              <w:top w:val="single" w:sz="4" w:space="0" w:color="auto"/>
              <w:bottom w:val="single" w:sz="4" w:space="0" w:color="auto"/>
              <w:right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709" w:type="dxa"/>
            <w:tcBorders>
              <w:top w:val="nil"/>
              <w:left w:val="single" w:sz="4" w:space="0" w:color="auto"/>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Sotsiaalteenused</w:t>
            </w:r>
          </w:p>
        </w:tc>
        <w:tc>
          <w:tcPr>
            <w:tcW w:w="1276"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top w:val="single" w:sz="4" w:space="0" w:color="auto"/>
              <w:right w:val="single" w:sz="4" w:space="0" w:color="auto"/>
            </w:tcBorders>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LVRKK</w:t>
            </w:r>
          </w:p>
        </w:tc>
        <w:tc>
          <w:tcPr>
            <w:tcW w:w="709" w:type="dxa"/>
            <w:tcBorders>
              <w:top w:val="nil"/>
              <w:left w:val="single" w:sz="4" w:space="0" w:color="auto"/>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Sport</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992" w:type="dxa"/>
            <w:tcBorders>
              <w:top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single" w:sz="4" w:space="0" w:color="auto"/>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567" w:type="dxa"/>
            <w:tcBorders>
              <w:top w:val="nil"/>
              <w:left w:val="nil"/>
              <w:bottom w:val="single" w:sz="4" w:space="0" w:color="auto"/>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Tehnika, tootmine, tehnoloogia</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992"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TTKK</w:t>
            </w:r>
          </w:p>
        </w:tc>
        <w:tc>
          <w:tcPr>
            <w:tcW w:w="709" w:type="dxa"/>
            <w:tcBorders>
              <w:top w:val="single" w:sz="4" w:space="0" w:color="auto"/>
              <w:bottom w:val="single" w:sz="4" w:space="0" w:color="auto"/>
              <w:right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ELA</w:t>
            </w:r>
          </w:p>
        </w:tc>
        <w:tc>
          <w:tcPr>
            <w:tcW w:w="850" w:type="dxa"/>
            <w:gridSpan w:val="2"/>
            <w:tcBorders>
              <w:top w:val="single" w:sz="4" w:space="0" w:color="auto"/>
              <w:left w:val="single" w:sz="4" w:space="0" w:color="auto"/>
              <w:bottom w:val="single" w:sz="4" w:space="0" w:color="auto"/>
              <w:right w:val="single" w:sz="4" w:space="0" w:color="auto"/>
            </w:tcBorders>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EMÜ</w:t>
            </w:r>
          </w:p>
        </w:tc>
        <w:tc>
          <w:tcPr>
            <w:tcW w:w="709" w:type="dxa"/>
            <w:tcBorders>
              <w:top w:val="nil"/>
              <w:left w:val="single" w:sz="4" w:space="0" w:color="auto"/>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Tervishoid</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w:t>
            </w:r>
            <w:r>
              <w:rPr>
                <w:rFonts w:asciiTheme="majorHAnsi" w:hAnsiTheme="majorHAnsi"/>
                <w:sz w:val="24"/>
                <w:szCs w:val="24"/>
              </w:rPr>
              <w:t>rt</w:t>
            </w:r>
            <w:r w:rsidRPr="00453B41">
              <w:rPr>
                <w:rFonts w:asciiTheme="majorHAnsi" w:hAnsiTheme="majorHAnsi"/>
                <w:sz w:val="24"/>
                <w:szCs w:val="24"/>
              </w:rPr>
              <w:t xml:space="preserve"> THKK</w:t>
            </w:r>
          </w:p>
        </w:tc>
        <w:tc>
          <w:tcPr>
            <w:tcW w:w="1418"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w:t>
            </w:r>
            <w:r>
              <w:rPr>
                <w:rFonts w:asciiTheme="majorHAnsi" w:hAnsiTheme="majorHAnsi"/>
                <w:sz w:val="24"/>
                <w:szCs w:val="24"/>
              </w:rPr>
              <w:t>ln</w:t>
            </w:r>
            <w:r w:rsidRPr="00453B41">
              <w:rPr>
                <w:rFonts w:asciiTheme="majorHAnsi" w:hAnsiTheme="majorHAnsi"/>
                <w:sz w:val="24"/>
                <w:szCs w:val="24"/>
              </w:rPr>
              <w:t xml:space="preserve"> THKK</w:t>
            </w:r>
          </w:p>
        </w:tc>
        <w:tc>
          <w:tcPr>
            <w:tcW w:w="992" w:type="dxa"/>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709" w:type="dxa"/>
            <w:tcBorders>
              <w:top w:val="single" w:sz="4" w:space="0" w:color="auto"/>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850" w:type="dxa"/>
            <w:gridSpan w:val="2"/>
            <w:tcBorders>
              <w:top w:val="single" w:sz="4" w:space="0" w:color="auto"/>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Transporditeenused</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TTKK</w:t>
            </w:r>
          </w:p>
        </w:tc>
        <w:tc>
          <w:tcPr>
            <w:tcW w:w="1418" w:type="dxa"/>
            <w:tcBorders>
              <w:bottom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ELA</w:t>
            </w:r>
          </w:p>
        </w:tc>
        <w:tc>
          <w:tcPr>
            <w:tcW w:w="992" w:type="dxa"/>
            <w:tcBorders>
              <w:bottom w:val="single" w:sz="4" w:space="0" w:color="auto"/>
            </w:tcBorders>
            <w:shd w:val="clear" w:color="auto" w:fill="FDE9D9" w:themeFill="accent6"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709" w:type="dxa"/>
            <w:tcBorders>
              <w:top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850"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Veterinaaria</w:t>
            </w:r>
          </w:p>
        </w:tc>
        <w:tc>
          <w:tcPr>
            <w:tcW w:w="1276" w:type="dxa"/>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EMÜ</w:t>
            </w:r>
          </w:p>
        </w:tc>
        <w:tc>
          <w:tcPr>
            <w:tcW w:w="1418" w:type="dxa"/>
            <w:tcBorders>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992" w:type="dxa"/>
            <w:tcBorders>
              <w:left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850"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lastRenderedPageBreak/>
              <w:t>Õigusteadus</w:t>
            </w:r>
          </w:p>
        </w:tc>
        <w:tc>
          <w:tcPr>
            <w:tcW w:w="1276"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1418" w:type="dxa"/>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992" w:type="dxa"/>
            <w:tcBorders>
              <w:bottom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709" w:type="dxa"/>
            <w:tcBorders>
              <w:top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850" w:type="dxa"/>
            <w:gridSpan w:val="2"/>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nil"/>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tcBorders>
              <w:right w:val="single" w:sz="4" w:space="0" w:color="auto"/>
            </w:tcBorders>
            <w:shd w:val="clear" w:color="auto" w:fill="FFFFFF" w:themeFill="background1"/>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Õpetajakoolitus ja kasvatusteadus</w:t>
            </w:r>
          </w:p>
        </w:tc>
        <w:tc>
          <w:tcPr>
            <w:tcW w:w="1276"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1418"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992" w:type="dxa"/>
            <w:tcBorders>
              <w:top w:val="single" w:sz="4" w:space="0" w:color="auto"/>
              <w:left w:val="single" w:sz="4" w:space="0" w:color="auto"/>
              <w:bottom w:val="single" w:sz="4" w:space="0" w:color="auto"/>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single" w:sz="4" w:space="0" w:color="auto"/>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850" w:type="dxa"/>
            <w:gridSpan w:val="2"/>
            <w:tcBorders>
              <w:top w:val="nil"/>
              <w:left w:val="nil"/>
              <w:bottom w:val="single" w:sz="4" w:space="0" w:color="auto"/>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c>
          <w:tcPr>
            <w:tcW w:w="709" w:type="dxa"/>
            <w:tcBorders>
              <w:top w:val="nil"/>
              <w:left w:val="nil"/>
              <w:bottom w:val="single" w:sz="4" w:space="0" w:color="auto"/>
              <w:right w:val="nil"/>
            </w:tcBorders>
            <w:shd w:val="clear" w:color="auto" w:fill="FFFFFF" w:themeFill="background1"/>
          </w:tcPr>
          <w:p w:rsidR="003B36A5" w:rsidRPr="00453B41" w:rsidRDefault="003B36A5" w:rsidP="003D60FC">
            <w:pPr>
              <w:spacing w:line="360" w:lineRule="auto"/>
              <w:rPr>
                <w:rFonts w:asciiTheme="majorHAnsi" w:hAnsiTheme="majorHAnsi"/>
                <w:sz w:val="24"/>
                <w:szCs w:val="24"/>
              </w:rPr>
            </w:pPr>
          </w:p>
        </w:tc>
      </w:tr>
      <w:tr w:rsidR="003B36A5" w:rsidRPr="00453B41" w:rsidTr="003D60FC">
        <w:tc>
          <w:tcPr>
            <w:tcW w:w="4077" w:type="dxa"/>
            <w:tcBorders>
              <w:right w:val="single" w:sz="4" w:space="0" w:color="auto"/>
            </w:tcBorders>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Ärindus ja haldus</w:t>
            </w:r>
          </w:p>
        </w:tc>
        <w:tc>
          <w:tcPr>
            <w:tcW w:w="1276" w:type="dxa"/>
            <w:tcBorders>
              <w:top w:val="single" w:sz="4" w:space="0" w:color="auto"/>
              <w:left w:val="single" w:sz="4" w:space="0" w:color="auto"/>
              <w:bottom w:val="single" w:sz="4" w:space="0" w:color="auto"/>
              <w:right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SKA</w:t>
            </w:r>
          </w:p>
        </w:tc>
        <w:tc>
          <w:tcPr>
            <w:tcW w:w="1418" w:type="dxa"/>
            <w:tcBorders>
              <w:top w:val="single" w:sz="4" w:space="0" w:color="auto"/>
              <w:left w:val="single" w:sz="4" w:space="0" w:color="auto"/>
              <w:bottom w:val="single" w:sz="4" w:space="0" w:color="auto"/>
              <w:right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TÜ</w:t>
            </w:r>
          </w:p>
        </w:tc>
        <w:tc>
          <w:tcPr>
            <w:tcW w:w="992" w:type="dxa"/>
            <w:tcBorders>
              <w:top w:val="single" w:sz="4" w:space="0" w:color="auto"/>
              <w:left w:val="single" w:sz="4" w:space="0" w:color="auto"/>
              <w:bottom w:val="single" w:sz="4" w:space="0" w:color="auto"/>
              <w:right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TTÜ</w:t>
            </w:r>
          </w:p>
        </w:tc>
        <w:tc>
          <w:tcPr>
            <w:tcW w:w="709" w:type="dxa"/>
            <w:tcBorders>
              <w:top w:val="single" w:sz="4" w:space="0" w:color="auto"/>
              <w:left w:val="single" w:sz="4" w:space="0" w:color="auto"/>
              <w:bottom w:val="single" w:sz="4" w:space="0" w:color="auto"/>
              <w:right w:val="single" w:sz="4" w:space="0" w:color="auto"/>
            </w:tcBorders>
            <w:shd w:val="clear" w:color="auto" w:fill="92D050"/>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TLÜ</w:t>
            </w:r>
          </w:p>
        </w:tc>
        <w:tc>
          <w:tcPr>
            <w:tcW w:w="850" w:type="dxa"/>
            <w:gridSpan w:val="2"/>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EMTA</w:t>
            </w:r>
          </w:p>
        </w:tc>
        <w:tc>
          <w:tcPr>
            <w:tcW w:w="709" w:type="dxa"/>
            <w:tcBorders>
              <w:top w:val="single" w:sz="4" w:space="0" w:color="auto"/>
              <w:left w:val="single" w:sz="4" w:space="0" w:color="auto"/>
              <w:bottom w:val="single" w:sz="4" w:space="0" w:color="auto"/>
              <w:right w:val="single" w:sz="4" w:space="0" w:color="auto"/>
            </w:tcBorders>
            <w:shd w:val="clear" w:color="auto" w:fill="EAF1DD" w:themeFill="accent3" w:themeFillTint="33"/>
          </w:tcPr>
          <w:p w:rsidR="003B36A5" w:rsidRPr="00453B41" w:rsidRDefault="003B36A5" w:rsidP="003D60FC">
            <w:pPr>
              <w:spacing w:line="360" w:lineRule="auto"/>
              <w:rPr>
                <w:rFonts w:asciiTheme="majorHAnsi" w:hAnsiTheme="majorHAnsi"/>
                <w:sz w:val="24"/>
                <w:szCs w:val="24"/>
              </w:rPr>
            </w:pPr>
            <w:r w:rsidRPr="00453B41">
              <w:rPr>
                <w:rFonts w:asciiTheme="majorHAnsi" w:hAnsiTheme="majorHAnsi"/>
                <w:sz w:val="24"/>
                <w:szCs w:val="24"/>
              </w:rPr>
              <w:t>EBS</w:t>
            </w:r>
          </w:p>
        </w:tc>
      </w:tr>
    </w:tbl>
    <w:p w:rsidR="00313A33" w:rsidRPr="00453B41" w:rsidRDefault="00313A33" w:rsidP="00596A6E">
      <w:pPr>
        <w:spacing w:after="0" w:line="360" w:lineRule="auto"/>
        <w:rPr>
          <w:rFonts w:asciiTheme="majorHAnsi" w:hAnsiTheme="majorHAnsi"/>
          <w:b/>
          <w:sz w:val="24"/>
          <w:szCs w:val="24"/>
        </w:rPr>
      </w:pPr>
      <w:bookmarkStart w:id="0" w:name="_GoBack"/>
      <w:bookmarkEnd w:id="0"/>
    </w:p>
    <w:p w:rsidR="00453B41" w:rsidRPr="00453B41" w:rsidRDefault="00733246" w:rsidP="0009459F">
      <w:pPr>
        <w:spacing w:after="0" w:line="360" w:lineRule="auto"/>
        <w:rPr>
          <w:rFonts w:asciiTheme="majorHAnsi" w:hAnsiTheme="majorHAnsi"/>
          <w:b/>
          <w:sz w:val="24"/>
          <w:szCs w:val="24"/>
        </w:rPr>
      </w:pPr>
      <w:r w:rsidRPr="00453B41">
        <w:rPr>
          <w:rFonts w:asciiTheme="majorHAnsi" w:hAnsiTheme="majorHAnsi"/>
          <w:b/>
          <w:sz w:val="24"/>
          <w:szCs w:val="24"/>
        </w:rPr>
        <w:t>Peamised kitsaskohad</w:t>
      </w:r>
      <w:r w:rsidR="00DB1613" w:rsidRPr="00453B41">
        <w:rPr>
          <w:rFonts w:asciiTheme="majorHAnsi" w:hAnsiTheme="majorHAnsi"/>
          <w:b/>
          <w:sz w:val="24"/>
          <w:szCs w:val="24"/>
        </w:rPr>
        <w:t xml:space="preserve"> Eesti kõrghariduses </w:t>
      </w:r>
    </w:p>
    <w:p w:rsidR="0009459F" w:rsidRPr="00453B41" w:rsidRDefault="0009459F" w:rsidP="0009459F">
      <w:pPr>
        <w:spacing w:after="0" w:line="360" w:lineRule="auto"/>
        <w:rPr>
          <w:rFonts w:asciiTheme="majorHAnsi" w:hAnsiTheme="majorHAnsi"/>
          <w:sz w:val="24"/>
          <w:szCs w:val="24"/>
        </w:rPr>
      </w:pPr>
      <w:r w:rsidRPr="00453B41">
        <w:rPr>
          <w:rFonts w:asciiTheme="majorHAnsi" w:hAnsiTheme="majorHAnsi"/>
          <w:sz w:val="24"/>
          <w:szCs w:val="24"/>
        </w:rPr>
        <w:t>Seniste hindamistulemuste põhjal võib väita, et kõrghariduse kvaliteedi edendamiseks on Eesti kõrgkoolides esmajoones vaja:</w:t>
      </w:r>
    </w:p>
    <w:p w:rsidR="0009459F" w:rsidRPr="00453B41" w:rsidRDefault="0009459F" w:rsidP="0079247D">
      <w:pPr>
        <w:spacing w:after="0" w:line="360" w:lineRule="auto"/>
        <w:rPr>
          <w:rFonts w:asciiTheme="majorHAnsi" w:hAnsiTheme="majorHAnsi"/>
          <w:sz w:val="24"/>
          <w:szCs w:val="24"/>
        </w:rPr>
      </w:pPr>
      <w:r w:rsidRPr="00453B41">
        <w:rPr>
          <w:rFonts w:asciiTheme="majorHAnsi" w:hAnsiTheme="majorHAnsi"/>
          <w:sz w:val="24"/>
          <w:szCs w:val="24"/>
        </w:rPr>
        <w:t xml:space="preserve">1)  </w:t>
      </w:r>
      <w:r w:rsidR="00453B41" w:rsidRPr="00453B41">
        <w:rPr>
          <w:rFonts w:asciiTheme="majorHAnsi" w:hAnsiTheme="majorHAnsi"/>
          <w:sz w:val="24"/>
          <w:szCs w:val="24"/>
        </w:rPr>
        <w:t xml:space="preserve">... </w:t>
      </w:r>
      <w:r w:rsidRPr="00453B41">
        <w:rPr>
          <w:rFonts w:asciiTheme="majorHAnsi" w:hAnsiTheme="majorHAnsi"/>
          <w:sz w:val="24"/>
          <w:szCs w:val="24"/>
        </w:rPr>
        <w:t>rakendada strateegilisemat lähenemist õppekavade arendamisele ja elluviimisele. Tagada, et õppekavadel on pikemaajalisem visioon ja tegevuskava, mis suhestub ülikooli üldiste püüdlustega; et õp</w:t>
      </w:r>
      <w:r w:rsidR="00453B41" w:rsidRPr="00453B41">
        <w:rPr>
          <w:rFonts w:asciiTheme="majorHAnsi" w:hAnsiTheme="majorHAnsi"/>
          <w:sz w:val="24"/>
          <w:szCs w:val="24"/>
        </w:rPr>
        <w:t>pekava juhtidel on selge roll (</w:t>
      </w:r>
      <w:r w:rsidRPr="00453B41">
        <w:rPr>
          <w:rFonts w:asciiTheme="majorHAnsi" w:hAnsiTheme="majorHAnsi"/>
          <w:sz w:val="24"/>
          <w:szCs w:val="24"/>
        </w:rPr>
        <w:t>ka a</w:t>
      </w:r>
      <w:r w:rsidR="00453B41" w:rsidRPr="00453B41">
        <w:rPr>
          <w:rFonts w:asciiTheme="majorHAnsi" w:hAnsiTheme="majorHAnsi"/>
          <w:sz w:val="24"/>
          <w:szCs w:val="24"/>
        </w:rPr>
        <w:t>jaressurss</w:t>
      </w:r>
      <w:r w:rsidRPr="00453B41">
        <w:rPr>
          <w:rFonts w:asciiTheme="majorHAnsi" w:hAnsiTheme="majorHAnsi"/>
          <w:sz w:val="24"/>
          <w:szCs w:val="24"/>
        </w:rPr>
        <w:t xml:space="preserve"> ja mandaat), et arendustesse kaasatakse (süsteemselt) üliõpilasi, tööandjaid, vilistlasi, ja tehakse koostööd oma ülikooli teiste üksuste, teiste ülikoolidega Eestis ja välismaal. </w:t>
      </w:r>
    </w:p>
    <w:p w:rsidR="00453B41" w:rsidRPr="00453B41" w:rsidRDefault="0009459F" w:rsidP="0009459F">
      <w:pPr>
        <w:spacing w:after="0" w:line="360" w:lineRule="auto"/>
        <w:rPr>
          <w:rFonts w:asciiTheme="majorHAnsi" w:hAnsiTheme="majorHAnsi"/>
          <w:sz w:val="24"/>
          <w:szCs w:val="24"/>
        </w:rPr>
      </w:pPr>
      <w:r w:rsidRPr="00453B41">
        <w:rPr>
          <w:rFonts w:asciiTheme="majorHAnsi" w:hAnsiTheme="majorHAnsi"/>
          <w:sz w:val="24"/>
          <w:szCs w:val="24"/>
        </w:rPr>
        <w:t xml:space="preserve">2) </w:t>
      </w:r>
      <w:r w:rsidR="00453B41" w:rsidRPr="00453B41">
        <w:rPr>
          <w:rFonts w:asciiTheme="majorHAnsi" w:hAnsiTheme="majorHAnsi"/>
          <w:sz w:val="24"/>
          <w:szCs w:val="24"/>
        </w:rPr>
        <w:t xml:space="preserve">... </w:t>
      </w:r>
      <w:r w:rsidRPr="00453B41">
        <w:rPr>
          <w:rFonts w:asciiTheme="majorHAnsi" w:hAnsiTheme="majorHAnsi"/>
          <w:sz w:val="24"/>
          <w:szCs w:val="24"/>
        </w:rPr>
        <w:t xml:space="preserve">läheneda õppejõudude arendamisele kompleksselt. </w:t>
      </w:r>
    </w:p>
    <w:p w:rsidR="0009459F" w:rsidRPr="00453B41" w:rsidRDefault="0009459F" w:rsidP="0009459F">
      <w:pPr>
        <w:spacing w:after="0" w:line="360" w:lineRule="auto"/>
        <w:rPr>
          <w:rFonts w:asciiTheme="majorHAnsi" w:hAnsiTheme="majorHAnsi"/>
          <w:sz w:val="24"/>
          <w:szCs w:val="24"/>
        </w:rPr>
      </w:pPr>
      <w:r w:rsidRPr="00453B41">
        <w:rPr>
          <w:rFonts w:asciiTheme="majorHAnsi" w:hAnsiTheme="majorHAnsi"/>
          <w:sz w:val="24"/>
          <w:szCs w:val="24"/>
        </w:rPr>
        <w:t>See tähendab õppejõudude pidevat ja eesmärgipärast enesetäiendamist sh kaasaegsete pedagoogiliste oskuste arendamist; koormuse selget, mõistlikku ja paindlikku jaotust õppejõu erinevate rollide vahel ning õppejõudude töö tagasisidestamist, üksteiselt õppimist ja hindamist.</w:t>
      </w:r>
    </w:p>
    <w:p w:rsidR="0009459F" w:rsidRPr="00453B41" w:rsidRDefault="0009459F" w:rsidP="0009459F">
      <w:pPr>
        <w:spacing w:after="0" w:line="360" w:lineRule="auto"/>
        <w:rPr>
          <w:rFonts w:asciiTheme="majorHAnsi" w:hAnsiTheme="majorHAnsi"/>
          <w:sz w:val="24"/>
          <w:szCs w:val="24"/>
        </w:rPr>
      </w:pPr>
      <w:r w:rsidRPr="00453B41">
        <w:rPr>
          <w:rFonts w:asciiTheme="majorHAnsi" w:hAnsiTheme="majorHAnsi"/>
          <w:sz w:val="24"/>
          <w:szCs w:val="24"/>
        </w:rPr>
        <w:t xml:space="preserve">3) </w:t>
      </w:r>
      <w:r w:rsidR="00453B41" w:rsidRPr="00453B41">
        <w:rPr>
          <w:rFonts w:asciiTheme="majorHAnsi" w:hAnsiTheme="majorHAnsi"/>
          <w:sz w:val="24"/>
          <w:szCs w:val="24"/>
        </w:rPr>
        <w:t xml:space="preserve">... pöörata </w:t>
      </w:r>
      <w:r w:rsidRPr="00453B41">
        <w:rPr>
          <w:rFonts w:asciiTheme="majorHAnsi" w:hAnsiTheme="majorHAnsi"/>
          <w:sz w:val="24"/>
          <w:szCs w:val="24"/>
        </w:rPr>
        <w:t>suuremat tähelepanu rahvusvahelistumisele – rahvusvahelisele komponendile õppekavades, õppejõudude ja üliõpilaste mobiilsusele, välisõppejõudude kaasamisele.</w:t>
      </w:r>
    </w:p>
    <w:p w:rsidR="00453B41" w:rsidRPr="00453B41" w:rsidRDefault="00453B41" w:rsidP="0079247D">
      <w:pPr>
        <w:spacing w:after="0" w:line="360" w:lineRule="auto"/>
        <w:rPr>
          <w:rFonts w:asciiTheme="majorHAnsi" w:hAnsiTheme="majorHAnsi"/>
          <w:sz w:val="24"/>
          <w:szCs w:val="24"/>
        </w:rPr>
      </w:pPr>
      <w:r w:rsidRPr="00453B41">
        <w:rPr>
          <w:rFonts w:asciiTheme="majorHAnsi" w:hAnsiTheme="majorHAnsi"/>
          <w:sz w:val="24"/>
          <w:szCs w:val="24"/>
        </w:rPr>
        <w:t xml:space="preserve">4) ... tegelda süsteemselt väljalangevuse vähendamisega. </w:t>
      </w:r>
    </w:p>
    <w:p w:rsidR="0009459F" w:rsidRPr="00453B41" w:rsidRDefault="00452F90" w:rsidP="0079247D">
      <w:pPr>
        <w:spacing w:after="0" w:line="360" w:lineRule="auto"/>
        <w:rPr>
          <w:rFonts w:asciiTheme="majorHAnsi" w:hAnsiTheme="majorHAnsi"/>
          <w:sz w:val="24"/>
          <w:szCs w:val="24"/>
        </w:rPr>
      </w:pPr>
      <w:r w:rsidRPr="00453B41">
        <w:rPr>
          <w:rFonts w:asciiTheme="majorHAnsi" w:hAnsiTheme="majorHAnsi"/>
          <w:sz w:val="24"/>
          <w:szCs w:val="24"/>
        </w:rPr>
        <w:t>Eesti kõrghariduse krooniline probleem näib olevat kõrge väljalangevus. Väliseksperdid pakuvad välja mitmeid lahendusvõimalusi:</w:t>
      </w:r>
    </w:p>
    <w:p w:rsidR="0009459F" w:rsidRPr="00453B41" w:rsidRDefault="00452F90" w:rsidP="0009459F">
      <w:pPr>
        <w:pStyle w:val="ListParagraph"/>
        <w:widowControl w:val="0"/>
        <w:numPr>
          <w:ilvl w:val="0"/>
          <w:numId w:val="2"/>
        </w:numPr>
        <w:autoSpaceDE w:val="0"/>
        <w:autoSpaceDN w:val="0"/>
        <w:adjustRightInd w:val="0"/>
        <w:spacing w:after="0" w:line="360" w:lineRule="auto"/>
        <w:rPr>
          <w:rFonts w:asciiTheme="majorHAnsi" w:hAnsiTheme="majorHAnsi" w:cs="Arial"/>
          <w:sz w:val="24"/>
          <w:szCs w:val="24"/>
        </w:rPr>
      </w:pPr>
      <w:r w:rsidRPr="00453B41">
        <w:rPr>
          <w:rFonts w:asciiTheme="majorHAnsi" w:hAnsiTheme="majorHAnsi" w:cs="Arial"/>
          <w:sz w:val="24"/>
          <w:szCs w:val="24"/>
        </w:rPr>
        <w:t>t</w:t>
      </w:r>
      <w:r w:rsidR="0009459F" w:rsidRPr="00453B41">
        <w:rPr>
          <w:rFonts w:asciiTheme="majorHAnsi" w:hAnsiTheme="majorHAnsi" w:cs="Arial"/>
          <w:sz w:val="24"/>
          <w:szCs w:val="24"/>
        </w:rPr>
        <w:t>utvustada õppekavasid üliõpilaskandidaatidele enne sisseastumist, et üliõpilaskandidaat omaks selgemat ettekujutust omandatavast erialast,</w:t>
      </w:r>
    </w:p>
    <w:p w:rsidR="0009459F" w:rsidRPr="00453B41" w:rsidRDefault="00452F90" w:rsidP="0009459F">
      <w:pPr>
        <w:pStyle w:val="ListParagraph"/>
        <w:widowControl w:val="0"/>
        <w:numPr>
          <w:ilvl w:val="0"/>
          <w:numId w:val="2"/>
        </w:numPr>
        <w:autoSpaceDE w:val="0"/>
        <w:autoSpaceDN w:val="0"/>
        <w:adjustRightInd w:val="0"/>
        <w:spacing w:after="0" w:line="360" w:lineRule="auto"/>
        <w:rPr>
          <w:rFonts w:asciiTheme="majorHAnsi" w:hAnsiTheme="majorHAnsi" w:cs="Arial"/>
          <w:sz w:val="24"/>
          <w:szCs w:val="24"/>
        </w:rPr>
      </w:pPr>
      <w:r w:rsidRPr="00453B41">
        <w:rPr>
          <w:rFonts w:asciiTheme="majorHAnsi" w:hAnsiTheme="majorHAnsi" w:cs="Arial"/>
          <w:sz w:val="24"/>
          <w:szCs w:val="24"/>
        </w:rPr>
        <w:t>kui vastu on võetud</w:t>
      </w:r>
      <w:r w:rsidR="0009459F" w:rsidRPr="00453B41">
        <w:rPr>
          <w:rFonts w:asciiTheme="majorHAnsi" w:hAnsiTheme="majorHAnsi" w:cs="Arial"/>
          <w:sz w:val="24"/>
          <w:szCs w:val="24"/>
        </w:rPr>
        <w:t xml:space="preserve"> erineva tasemega üliõpilased, siis tuleb luua võimalused nõrgemale grupile intensiivseks järeleaitamiseks õpingute alguses, </w:t>
      </w:r>
    </w:p>
    <w:p w:rsidR="0009459F" w:rsidRPr="00453B41" w:rsidRDefault="00452F90" w:rsidP="0009459F">
      <w:pPr>
        <w:pStyle w:val="ListParagraph"/>
        <w:widowControl w:val="0"/>
        <w:numPr>
          <w:ilvl w:val="0"/>
          <w:numId w:val="2"/>
        </w:numPr>
        <w:autoSpaceDE w:val="0"/>
        <w:autoSpaceDN w:val="0"/>
        <w:adjustRightInd w:val="0"/>
        <w:spacing w:after="0" w:line="360" w:lineRule="auto"/>
        <w:rPr>
          <w:rFonts w:asciiTheme="majorHAnsi" w:hAnsiTheme="majorHAnsi" w:cs="Arial"/>
          <w:sz w:val="24"/>
          <w:szCs w:val="24"/>
        </w:rPr>
      </w:pPr>
      <w:r w:rsidRPr="00453B41">
        <w:rPr>
          <w:rFonts w:asciiTheme="majorHAnsi" w:hAnsiTheme="majorHAnsi" w:cs="Arial"/>
          <w:sz w:val="24"/>
          <w:szCs w:val="24"/>
        </w:rPr>
        <w:t>õ</w:t>
      </w:r>
      <w:r w:rsidR="0009459F" w:rsidRPr="00453B41">
        <w:rPr>
          <w:rFonts w:asciiTheme="majorHAnsi" w:hAnsiTheme="majorHAnsi" w:cs="Arial"/>
          <w:sz w:val="24"/>
          <w:szCs w:val="24"/>
        </w:rPr>
        <w:t>petada erialaaineid õpingute esimesel aastal,</w:t>
      </w:r>
    </w:p>
    <w:p w:rsidR="0009459F" w:rsidRPr="00453B41" w:rsidRDefault="00452F90" w:rsidP="0009459F">
      <w:pPr>
        <w:pStyle w:val="ListParagraph"/>
        <w:widowControl w:val="0"/>
        <w:numPr>
          <w:ilvl w:val="0"/>
          <w:numId w:val="2"/>
        </w:numPr>
        <w:autoSpaceDE w:val="0"/>
        <w:autoSpaceDN w:val="0"/>
        <w:adjustRightInd w:val="0"/>
        <w:spacing w:after="0" w:line="360" w:lineRule="auto"/>
        <w:rPr>
          <w:rFonts w:asciiTheme="majorHAnsi" w:hAnsiTheme="majorHAnsi" w:cs="Arial"/>
          <w:sz w:val="24"/>
          <w:szCs w:val="24"/>
        </w:rPr>
      </w:pPr>
      <w:r w:rsidRPr="00453B41">
        <w:rPr>
          <w:rFonts w:asciiTheme="majorHAnsi" w:hAnsiTheme="majorHAnsi" w:cs="Arial"/>
          <w:sz w:val="24"/>
          <w:szCs w:val="24"/>
        </w:rPr>
        <w:t>k</w:t>
      </w:r>
      <w:r w:rsidR="0009459F" w:rsidRPr="00453B41">
        <w:rPr>
          <w:rFonts w:asciiTheme="majorHAnsi" w:hAnsiTheme="majorHAnsi" w:cs="Arial"/>
          <w:sz w:val="24"/>
          <w:szCs w:val="24"/>
        </w:rPr>
        <w:t>aasata üliõpilane erialastesse projektidesse õpingute algul,</w:t>
      </w:r>
    </w:p>
    <w:p w:rsidR="0009459F" w:rsidRPr="00453B41" w:rsidRDefault="00452F90" w:rsidP="0009459F">
      <w:pPr>
        <w:pStyle w:val="ListParagraph"/>
        <w:widowControl w:val="0"/>
        <w:numPr>
          <w:ilvl w:val="0"/>
          <w:numId w:val="2"/>
        </w:numPr>
        <w:autoSpaceDE w:val="0"/>
        <w:autoSpaceDN w:val="0"/>
        <w:adjustRightInd w:val="0"/>
        <w:spacing w:after="0" w:line="360" w:lineRule="auto"/>
        <w:rPr>
          <w:rFonts w:asciiTheme="majorHAnsi" w:hAnsiTheme="majorHAnsi" w:cs="Arial"/>
          <w:sz w:val="24"/>
          <w:szCs w:val="24"/>
        </w:rPr>
      </w:pPr>
      <w:r w:rsidRPr="00453B41">
        <w:rPr>
          <w:rFonts w:asciiTheme="majorHAnsi" w:hAnsiTheme="majorHAnsi" w:cs="Arial"/>
          <w:sz w:val="24"/>
          <w:szCs w:val="24"/>
        </w:rPr>
        <w:t>v</w:t>
      </w:r>
      <w:r w:rsidR="0009459F" w:rsidRPr="00453B41">
        <w:rPr>
          <w:rFonts w:asciiTheme="majorHAnsi" w:hAnsiTheme="majorHAnsi" w:cs="Arial"/>
          <w:sz w:val="24"/>
          <w:szCs w:val="24"/>
        </w:rPr>
        <w:t>õimaldada erialast praktikat õpingute alguses,</w:t>
      </w:r>
    </w:p>
    <w:p w:rsidR="0009459F" w:rsidRPr="00453B41" w:rsidRDefault="00452F90" w:rsidP="0009459F">
      <w:pPr>
        <w:pStyle w:val="ListParagraph"/>
        <w:widowControl w:val="0"/>
        <w:numPr>
          <w:ilvl w:val="0"/>
          <w:numId w:val="2"/>
        </w:numPr>
        <w:autoSpaceDE w:val="0"/>
        <w:autoSpaceDN w:val="0"/>
        <w:adjustRightInd w:val="0"/>
        <w:spacing w:after="0" w:line="360" w:lineRule="auto"/>
        <w:rPr>
          <w:rFonts w:asciiTheme="majorHAnsi" w:hAnsiTheme="majorHAnsi" w:cs="Arial"/>
          <w:sz w:val="24"/>
          <w:szCs w:val="24"/>
        </w:rPr>
      </w:pPr>
      <w:r w:rsidRPr="00453B41">
        <w:rPr>
          <w:rFonts w:asciiTheme="majorHAnsi" w:hAnsiTheme="majorHAnsi" w:cs="Arial"/>
          <w:sz w:val="24"/>
          <w:szCs w:val="24"/>
        </w:rPr>
        <w:t>m</w:t>
      </w:r>
      <w:r w:rsidR="0009459F" w:rsidRPr="00453B41">
        <w:rPr>
          <w:rFonts w:asciiTheme="majorHAnsi" w:hAnsiTheme="majorHAnsi" w:cs="Arial"/>
          <w:sz w:val="24"/>
          <w:szCs w:val="24"/>
        </w:rPr>
        <w:t>etoodilisemalt juhendada lõputöid (seminarid, individuaalne tagasiside, nõustamine jm),</w:t>
      </w:r>
    </w:p>
    <w:p w:rsidR="0009459F" w:rsidRPr="00453B41" w:rsidRDefault="00452F90" w:rsidP="0009459F">
      <w:pPr>
        <w:pStyle w:val="ListParagraph"/>
        <w:widowControl w:val="0"/>
        <w:numPr>
          <w:ilvl w:val="0"/>
          <w:numId w:val="2"/>
        </w:numPr>
        <w:autoSpaceDE w:val="0"/>
        <w:autoSpaceDN w:val="0"/>
        <w:adjustRightInd w:val="0"/>
        <w:spacing w:after="0" w:line="360" w:lineRule="auto"/>
        <w:rPr>
          <w:rFonts w:asciiTheme="majorHAnsi" w:hAnsiTheme="majorHAnsi" w:cs="Arial"/>
          <w:sz w:val="24"/>
          <w:szCs w:val="24"/>
        </w:rPr>
      </w:pPr>
      <w:r w:rsidRPr="00453B41">
        <w:rPr>
          <w:rFonts w:asciiTheme="majorHAnsi" w:hAnsiTheme="majorHAnsi" w:cs="Arial"/>
          <w:sz w:val="24"/>
          <w:szCs w:val="24"/>
        </w:rPr>
        <w:t>k</w:t>
      </w:r>
      <w:r w:rsidR="0009459F" w:rsidRPr="00453B41">
        <w:rPr>
          <w:rFonts w:asciiTheme="majorHAnsi" w:hAnsiTheme="majorHAnsi" w:cs="Arial"/>
          <w:sz w:val="24"/>
          <w:szCs w:val="24"/>
        </w:rPr>
        <w:t xml:space="preserve">asutada üliõpilaste tööde hindamisel  senisest enam kujundavat hindamist ja </w:t>
      </w:r>
      <w:r w:rsidR="0009459F" w:rsidRPr="00453B41">
        <w:rPr>
          <w:rFonts w:asciiTheme="majorHAnsi" w:hAnsiTheme="majorHAnsi" w:cs="Arial"/>
          <w:sz w:val="24"/>
          <w:szCs w:val="24"/>
        </w:rPr>
        <w:lastRenderedPageBreak/>
        <w:t>sisulist tagasisidet.</w:t>
      </w:r>
    </w:p>
    <w:p w:rsidR="0009459F" w:rsidRPr="00453B41" w:rsidRDefault="00452F90" w:rsidP="00596A6E">
      <w:pPr>
        <w:spacing w:after="0" w:line="360" w:lineRule="auto"/>
        <w:rPr>
          <w:rFonts w:asciiTheme="majorHAnsi" w:hAnsiTheme="majorHAnsi"/>
          <w:sz w:val="24"/>
          <w:szCs w:val="24"/>
        </w:rPr>
      </w:pPr>
      <w:r w:rsidRPr="00453B41">
        <w:rPr>
          <w:rFonts w:asciiTheme="majorHAnsi" w:hAnsiTheme="majorHAnsi"/>
          <w:sz w:val="24"/>
          <w:szCs w:val="24"/>
        </w:rPr>
        <w:t xml:space="preserve">Kitsaskohtade kõrval leiavad eksperdid </w:t>
      </w:r>
      <w:r w:rsidR="00733246" w:rsidRPr="00453B41">
        <w:rPr>
          <w:rFonts w:asciiTheme="majorHAnsi" w:hAnsiTheme="majorHAnsi"/>
          <w:sz w:val="24"/>
          <w:szCs w:val="24"/>
        </w:rPr>
        <w:t>ka terve rea Eesti kõrghariduse tugevusi.</w:t>
      </w:r>
      <w:r w:rsidRPr="00453B41">
        <w:rPr>
          <w:rFonts w:asciiTheme="majorHAnsi" w:hAnsiTheme="majorHAnsi"/>
          <w:sz w:val="24"/>
          <w:szCs w:val="24"/>
        </w:rPr>
        <w:t xml:space="preserve"> Näiteks jagub kiidusõnu ajakohasele õppetaristule, õppejõudude teadus</w:t>
      </w:r>
      <w:r w:rsidR="00733246" w:rsidRPr="00453B41">
        <w:rPr>
          <w:rFonts w:asciiTheme="majorHAnsi" w:hAnsiTheme="majorHAnsi"/>
          <w:sz w:val="24"/>
          <w:szCs w:val="24"/>
        </w:rPr>
        <w:t>töö tasemele,</w:t>
      </w:r>
      <w:r w:rsidRPr="00453B41">
        <w:rPr>
          <w:rFonts w:asciiTheme="majorHAnsi" w:hAnsiTheme="majorHAnsi"/>
          <w:sz w:val="24"/>
          <w:szCs w:val="24"/>
        </w:rPr>
        <w:t xml:space="preserve"> e-õppe rakendamisele, praktikakorraldusele ja koostööle tööandjatega. </w:t>
      </w:r>
      <w:r w:rsidR="00322812" w:rsidRPr="00453B41">
        <w:rPr>
          <w:rFonts w:asciiTheme="majorHAnsi" w:hAnsiTheme="majorHAnsi"/>
          <w:sz w:val="24"/>
          <w:szCs w:val="24"/>
        </w:rPr>
        <w:t xml:space="preserve">Nii mõnigi kõrgkool sai tunnustada ka väga enesekriitilise </w:t>
      </w:r>
      <w:r w:rsidR="00453B41" w:rsidRPr="00453B41">
        <w:rPr>
          <w:rFonts w:asciiTheme="majorHAnsi" w:hAnsiTheme="majorHAnsi"/>
          <w:sz w:val="24"/>
          <w:szCs w:val="24"/>
        </w:rPr>
        <w:t>lähenemise</w:t>
      </w:r>
      <w:r w:rsidR="00322812" w:rsidRPr="00453B41">
        <w:rPr>
          <w:rFonts w:asciiTheme="majorHAnsi" w:hAnsiTheme="majorHAnsi"/>
          <w:sz w:val="24"/>
          <w:szCs w:val="24"/>
        </w:rPr>
        <w:t xml:space="preserve"> eest. </w:t>
      </w:r>
    </w:p>
    <w:p w:rsidR="00733246" w:rsidRPr="00453B41" w:rsidRDefault="00733246" w:rsidP="0079247D">
      <w:pPr>
        <w:spacing w:after="0" w:line="360" w:lineRule="auto"/>
        <w:rPr>
          <w:rFonts w:asciiTheme="majorHAnsi" w:hAnsiTheme="majorHAnsi"/>
          <w:sz w:val="24"/>
          <w:szCs w:val="24"/>
        </w:rPr>
      </w:pPr>
      <w:r w:rsidRPr="00453B41">
        <w:rPr>
          <w:rFonts w:asciiTheme="majorHAnsi" w:hAnsiTheme="majorHAnsi"/>
          <w:sz w:val="24"/>
          <w:szCs w:val="24"/>
        </w:rPr>
        <w:t>Õppekavagruppide kvaliteedi hindamistest on praeguseks läbi üle 2/3. Viimased hindamised (sh doktoriõppe kvaliteedi hindamised) toimuvad aastatel 2017-2018.</w:t>
      </w:r>
    </w:p>
    <w:p w:rsidR="00733246" w:rsidRPr="00453B41" w:rsidRDefault="00733246" w:rsidP="00596A6E">
      <w:pPr>
        <w:spacing w:after="0" w:line="360" w:lineRule="auto"/>
        <w:rPr>
          <w:rFonts w:asciiTheme="majorHAnsi" w:hAnsiTheme="majorHAnsi"/>
          <w:sz w:val="24"/>
          <w:szCs w:val="24"/>
        </w:rPr>
      </w:pPr>
    </w:p>
    <w:p w:rsidR="00852BEE" w:rsidRPr="00453B41" w:rsidRDefault="00453B41" w:rsidP="00596A6E">
      <w:pPr>
        <w:spacing w:after="0" w:line="360" w:lineRule="auto"/>
        <w:rPr>
          <w:rFonts w:asciiTheme="majorHAnsi" w:hAnsiTheme="majorHAnsi"/>
          <w:b/>
          <w:sz w:val="24"/>
          <w:szCs w:val="24"/>
        </w:rPr>
      </w:pPr>
      <w:r w:rsidRPr="00453B41">
        <w:rPr>
          <w:rFonts w:asciiTheme="majorHAnsi" w:hAnsiTheme="majorHAnsi"/>
          <w:b/>
          <w:sz w:val="24"/>
          <w:szCs w:val="24"/>
        </w:rPr>
        <w:t>Kõrgkoolide tagasiside</w:t>
      </w:r>
    </w:p>
    <w:p w:rsidR="00493D9F" w:rsidRPr="00453B41" w:rsidRDefault="00F434B2" w:rsidP="00596A6E">
      <w:pPr>
        <w:spacing w:after="0" w:line="360" w:lineRule="auto"/>
        <w:rPr>
          <w:rFonts w:asciiTheme="majorHAnsi" w:hAnsiTheme="majorHAnsi"/>
          <w:sz w:val="24"/>
          <w:szCs w:val="24"/>
        </w:rPr>
      </w:pPr>
      <w:r w:rsidRPr="00453B41">
        <w:rPr>
          <w:rFonts w:asciiTheme="majorHAnsi" w:hAnsiTheme="majorHAnsi"/>
          <w:sz w:val="24"/>
          <w:szCs w:val="24"/>
        </w:rPr>
        <w:t xml:space="preserve">EKKA </w:t>
      </w:r>
      <w:r w:rsidR="00852BEE" w:rsidRPr="00453B41">
        <w:rPr>
          <w:rFonts w:asciiTheme="majorHAnsi" w:hAnsiTheme="majorHAnsi"/>
          <w:sz w:val="24"/>
          <w:szCs w:val="24"/>
        </w:rPr>
        <w:t>küsib kõrgkoolidelt</w:t>
      </w:r>
      <w:r w:rsidRPr="00453B41">
        <w:rPr>
          <w:rFonts w:asciiTheme="majorHAnsi" w:hAnsiTheme="majorHAnsi"/>
          <w:sz w:val="24"/>
          <w:szCs w:val="24"/>
        </w:rPr>
        <w:t xml:space="preserve"> tagasisidet </w:t>
      </w:r>
      <w:r w:rsidR="0038541D" w:rsidRPr="00453B41">
        <w:rPr>
          <w:rFonts w:asciiTheme="majorHAnsi" w:hAnsiTheme="majorHAnsi"/>
          <w:sz w:val="24"/>
          <w:szCs w:val="24"/>
        </w:rPr>
        <w:t xml:space="preserve">pärast kõiki hindamiskülastusi </w:t>
      </w:r>
      <w:r w:rsidR="00FA202F" w:rsidRPr="00453B41">
        <w:rPr>
          <w:rFonts w:asciiTheme="majorHAnsi" w:hAnsiTheme="majorHAnsi"/>
          <w:sz w:val="24"/>
          <w:szCs w:val="24"/>
        </w:rPr>
        <w:t>ning korraldab kõrgkoolides ka tagasis</w:t>
      </w:r>
      <w:r w:rsidRPr="00453B41">
        <w:rPr>
          <w:rFonts w:asciiTheme="majorHAnsi" w:hAnsiTheme="majorHAnsi"/>
          <w:sz w:val="24"/>
          <w:szCs w:val="24"/>
        </w:rPr>
        <w:t xml:space="preserve">ideseminare, et teada saada, </w:t>
      </w:r>
      <w:r w:rsidR="00AC1AAC" w:rsidRPr="00453B41">
        <w:rPr>
          <w:rFonts w:asciiTheme="majorHAnsi" w:hAnsiTheme="majorHAnsi"/>
          <w:sz w:val="24"/>
          <w:szCs w:val="24"/>
        </w:rPr>
        <w:t xml:space="preserve">mis </w:t>
      </w:r>
      <w:r w:rsidR="00852BEE" w:rsidRPr="00453B41">
        <w:rPr>
          <w:rFonts w:asciiTheme="majorHAnsi" w:hAnsiTheme="majorHAnsi"/>
          <w:sz w:val="24"/>
          <w:szCs w:val="24"/>
        </w:rPr>
        <w:t xml:space="preserve">kõrgkoolide hinnangul </w:t>
      </w:r>
      <w:r w:rsidR="00AC1AAC" w:rsidRPr="00453B41">
        <w:rPr>
          <w:rFonts w:asciiTheme="majorHAnsi" w:hAnsiTheme="majorHAnsi"/>
          <w:sz w:val="24"/>
          <w:szCs w:val="24"/>
        </w:rPr>
        <w:t>välishindamises</w:t>
      </w:r>
      <w:r w:rsidR="00852BEE" w:rsidRPr="00453B41">
        <w:rPr>
          <w:rFonts w:asciiTheme="majorHAnsi" w:hAnsiTheme="majorHAnsi"/>
          <w:sz w:val="24"/>
          <w:szCs w:val="24"/>
        </w:rPr>
        <w:t xml:space="preserve"> hästi</w:t>
      </w:r>
      <w:r w:rsidR="00AC1AAC" w:rsidRPr="00453B41">
        <w:rPr>
          <w:rFonts w:asciiTheme="majorHAnsi" w:hAnsiTheme="majorHAnsi"/>
          <w:sz w:val="24"/>
          <w:szCs w:val="24"/>
        </w:rPr>
        <w:t xml:space="preserve"> toimib</w:t>
      </w:r>
      <w:r w:rsidRPr="00453B41">
        <w:rPr>
          <w:rFonts w:asciiTheme="majorHAnsi" w:hAnsiTheme="majorHAnsi"/>
          <w:sz w:val="24"/>
          <w:szCs w:val="24"/>
        </w:rPr>
        <w:t xml:space="preserve">, </w:t>
      </w:r>
      <w:r w:rsidR="00FA202F" w:rsidRPr="00453B41">
        <w:rPr>
          <w:rFonts w:asciiTheme="majorHAnsi" w:hAnsiTheme="majorHAnsi"/>
          <w:sz w:val="24"/>
          <w:szCs w:val="24"/>
        </w:rPr>
        <w:t>mida võiks teisiti korraldada, ning mida tuleks olemasolevas välishindamise süsteemis muuta.</w:t>
      </w:r>
    </w:p>
    <w:p w:rsidR="00FA202F" w:rsidRPr="00453B41" w:rsidRDefault="00F434B2" w:rsidP="00596A6E">
      <w:pPr>
        <w:spacing w:after="0" w:line="360" w:lineRule="auto"/>
        <w:rPr>
          <w:rFonts w:asciiTheme="majorHAnsi" w:hAnsiTheme="majorHAnsi"/>
          <w:sz w:val="24"/>
          <w:szCs w:val="24"/>
        </w:rPr>
      </w:pPr>
      <w:r w:rsidRPr="00453B41">
        <w:rPr>
          <w:rFonts w:asciiTheme="majorHAnsi" w:hAnsiTheme="majorHAnsi"/>
          <w:sz w:val="24"/>
          <w:szCs w:val="24"/>
        </w:rPr>
        <w:t>Kõrgkoolide t</w:t>
      </w:r>
      <w:r w:rsidR="00FA202F" w:rsidRPr="00453B41">
        <w:rPr>
          <w:rFonts w:asciiTheme="majorHAnsi" w:hAnsiTheme="majorHAnsi"/>
          <w:sz w:val="24"/>
          <w:szCs w:val="24"/>
        </w:rPr>
        <w:t>agasiside hindamis</w:t>
      </w:r>
      <w:r w:rsidR="00995670" w:rsidRPr="00453B41">
        <w:rPr>
          <w:rFonts w:asciiTheme="majorHAnsi" w:hAnsiTheme="majorHAnsi"/>
          <w:sz w:val="24"/>
          <w:szCs w:val="24"/>
        </w:rPr>
        <w:t>tele</w:t>
      </w:r>
      <w:r w:rsidR="00FA202F" w:rsidRPr="00453B41">
        <w:rPr>
          <w:rFonts w:asciiTheme="majorHAnsi" w:hAnsiTheme="majorHAnsi"/>
          <w:sz w:val="24"/>
          <w:szCs w:val="24"/>
        </w:rPr>
        <w:t xml:space="preserve"> </w:t>
      </w:r>
      <w:r w:rsidR="00995670" w:rsidRPr="00453B41">
        <w:rPr>
          <w:rFonts w:asciiTheme="majorHAnsi" w:hAnsiTheme="majorHAnsi"/>
          <w:sz w:val="24"/>
          <w:szCs w:val="24"/>
        </w:rPr>
        <w:t xml:space="preserve">vahetult pärast hindamiskülastust </w:t>
      </w:r>
      <w:r w:rsidR="00FA202F" w:rsidRPr="00453B41">
        <w:rPr>
          <w:rFonts w:asciiTheme="majorHAnsi" w:hAnsiTheme="majorHAnsi"/>
          <w:sz w:val="24"/>
          <w:szCs w:val="24"/>
        </w:rPr>
        <w:t xml:space="preserve">on </w:t>
      </w:r>
      <w:r w:rsidRPr="00453B41">
        <w:rPr>
          <w:rFonts w:asciiTheme="majorHAnsi" w:hAnsiTheme="majorHAnsi"/>
          <w:sz w:val="24"/>
          <w:szCs w:val="24"/>
        </w:rPr>
        <w:t xml:space="preserve">olnud </w:t>
      </w:r>
      <w:r w:rsidR="00FA202F" w:rsidRPr="00453B41">
        <w:rPr>
          <w:rFonts w:asciiTheme="majorHAnsi" w:hAnsiTheme="majorHAnsi"/>
          <w:sz w:val="24"/>
          <w:szCs w:val="24"/>
        </w:rPr>
        <w:t xml:space="preserve">stabiilselt </w:t>
      </w:r>
      <w:r w:rsidR="008860CE" w:rsidRPr="00453B41">
        <w:rPr>
          <w:rFonts w:asciiTheme="majorHAnsi" w:hAnsiTheme="majorHAnsi"/>
          <w:sz w:val="24"/>
          <w:szCs w:val="24"/>
        </w:rPr>
        <w:t>positiivne</w:t>
      </w:r>
      <w:r w:rsidR="00FA202F" w:rsidRPr="00453B41">
        <w:rPr>
          <w:rFonts w:asciiTheme="majorHAnsi" w:hAnsiTheme="majorHAnsi"/>
          <w:sz w:val="24"/>
          <w:szCs w:val="24"/>
        </w:rPr>
        <w:t>.</w:t>
      </w:r>
      <w:r w:rsidR="008860CE" w:rsidRPr="00453B41">
        <w:rPr>
          <w:rFonts w:asciiTheme="majorHAnsi" w:hAnsiTheme="majorHAnsi"/>
          <w:sz w:val="24"/>
          <w:szCs w:val="24"/>
        </w:rPr>
        <w:t xml:space="preserve"> Hindamiskomisjoni koosseisuga on rahul üle 95% </w:t>
      </w:r>
      <w:r w:rsidR="00FA202F" w:rsidRPr="00453B41">
        <w:rPr>
          <w:rFonts w:asciiTheme="majorHAnsi" w:hAnsiTheme="majorHAnsi"/>
          <w:sz w:val="24"/>
          <w:szCs w:val="24"/>
        </w:rPr>
        <w:t xml:space="preserve"> </w:t>
      </w:r>
      <w:r w:rsidR="008860CE" w:rsidRPr="00453B41">
        <w:rPr>
          <w:rFonts w:asciiTheme="majorHAnsi" w:hAnsiTheme="majorHAnsi"/>
          <w:sz w:val="24"/>
          <w:szCs w:val="24"/>
        </w:rPr>
        <w:t xml:space="preserve">komisjoniga kohtunud ülikoolide töötajatest ja üliõpilastest. See rahuolu on </w:t>
      </w:r>
      <w:r w:rsidR="00995670" w:rsidRPr="00453B41">
        <w:rPr>
          <w:rFonts w:asciiTheme="majorHAnsi" w:hAnsiTheme="majorHAnsi"/>
          <w:sz w:val="24"/>
          <w:szCs w:val="24"/>
        </w:rPr>
        <w:t>aastatega</w:t>
      </w:r>
      <w:r w:rsidR="008860CE" w:rsidRPr="00453B41">
        <w:rPr>
          <w:rFonts w:asciiTheme="majorHAnsi" w:hAnsiTheme="majorHAnsi"/>
          <w:sz w:val="24"/>
          <w:szCs w:val="24"/>
        </w:rPr>
        <w:t xml:space="preserve"> natuke tõusnud. </w:t>
      </w:r>
      <w:r w:rsidR="00995670" w:rsidRPr="00453B41">
        <w:rPr>
          <w:rFonts w:asciiTheme="majorHAnsi" w:hAnsiTheme="majorHAnsi"/>
          <w:sz w:val="24"/>
          <w:szCs w:val="24"/>
        </w:rPr>
        <w:t>A</w:t>
      </w:r>
      <w:r w:rsidR="008860CE" w:rsidRPr="00453B41">
        <w:rPr>
          <w:rFonts w:asciiTheme="majorHAnsi" w:hAnsiTheme="majorHAnsi"/>
          <w:sz w:val="24"/>
          <w:szCs w:val="24"/>
        </w:rPr>
        <w:t xml:space="preserve">astatega on </w:t>
      </w:r>
      <w:r w:rsidR="00995670" w:rsidRPr="00453B41">
        <w:rPr>
          <w:rFonts w:asciiTheme="majorHAnsi" w:hAnsiTheme="majorHAnsi"/>
          <w:sz w:val="24"/>
          <w:szCs w:val="24"/>
        </w:rPr>
        <w:t>pisut</w:t>
      </w:r>
      <w:r w:rsidR="008860CE" w:rsidRPr="00453B41">
        <w:rPr>
          <w:rFonts w:asciiTheme="majorHAnsi" w:hAnsiTheme="majorHAnsi"/>
          <w:sz w:val="24"/>
          <w:szCs w:val="24"/>
        </w:rPr>
        <w:t xml:space="preserve"> tõusnud ka rahulolu komisjoni ettevalmistusega (</w:t>
      </w:r>
      <w:r w:rsidR="00995670" w:rsidRPr="00453B41">
        <w:rPr>
          <w:rFonts w:asciiTheme="majorHAnsi" w:hAnsiTheme="majorHAnsi"/>
          <w:sz w:val="24"/>
          <w:szCs w:val="24"/>
        </w:rPr>
        <w:t xml:space="preserve">2016.a </w:t>
      </w:r>
      <w:r w:rsidR="008860CE" w:rsidRPr="00453B41">
        <w:rPr>
          <w:rFonts w:asciiTheme="majorHAnsi" w:hAnsiTheme="majorHAnsi"/>
          <w:sz w:val="24"/>
          <w:szCs w:val="24"/>
        </w:rPr>
        <w:t xml:space="preserve">rahul või pigem rahul 97% vastanutest).  Komisjonide ajakasutust intervjuude läbiviimisel ning avatud õhkkonda hindab </w:t>
      </w:r>
      <w:r w:rsidR="00995670" w:rsidRPr="00453B41">
        <w:rPr>
          <w:rFonts w:asciiTheme="majorHAnsi" w:hAnsiTheme="majorHAnsi"/>
          <w:sz w:val="24"/>
          <w:szCs w:val="24"/>
        </w:rPr>
        <w:t xml:space="preserve">2016.aastal </w:t>
      </w:r>
      <w:r w:rsidR="008860CE" w:rsidRPr="00453B41">
        <w:rPr>
          <w:rFonts w:asciiTheme="majorHAnsi" w:hAnsiTheme="majorHAnsi"/>
          <w:sz w:val="24"/>
          <w:szCs w:val="24"/>
        </w:rPr>
        <w:t xml:space="preserve">samuti </w:t>
      </w:r>
      <w:r w:rsidR="00586DD1" w:rsidRPr="00453B41">
        <w:rPr>
          <w:rFonts w:asciiTheme="majorHAnsi" w:hAnsiTheme="majorHAnsi"/>
          <w:sz w:val="24"/>
          <w:szCs w:val="24"/>
        </w:rPr>
        <w:t xml:space="preserve">pisut </w:t>
      </w:r>
      <w:r w:rsidR="008860CE" w:rsidRPr="00453B41">
        <w:rPr>
          <w:rFonts w:asciiTheme="majorHAnsi" w:hAnsiTheme="majorHAnsi"/>
          <w:sz w:val="24"/>
          <w:szCs w:val="24"/>
        </w:rPr>
        <w:t xml:space="preserve">enam intervjuudel osalejaid </w:t>
      </w:r>
      <w:r w:rsidR="00586DD1" w:rsidRPr="00453B41">
        <w:rPr>
          <w:rFonts w:asciiTheme="majorHAnsi" w:hAnsiTheme="majorHAnsi"/>
          <w:sz w:val="24"/>
          <w:szCs w:val="24"/>
        </w:rPr>
        <w:t xml:space="preserve">kui 2015. aastal </w:t>
      </w:r>
      <w:r w:rsidR="008860CE" w:rsidRPr="00453B41">
        <w:rPr>
          <w:rFonts w:asciiTheme="majorHAnsi" w:hAnsiTheme="majorHAnsi"/>
          <w:sz w:val="24"/>
          <w:szCs w:val="24"/>
        </w:rPr>
        <w:t>(97% ja 99%)</w:t>
      </w:r>
      <w:r w:rsidR="00586DD1" w:rsidRPr="00453B41">
        <w:rPr>
          <w:rFonts w:asciiTheme="majorHAnsi" w:hAnsiTheme="majorHAnsi"/>
          <w:sz w:val="24"/>
          <w:szCs w:val="24"/>
        </w:rPr>
        <w:t xml:space="preserve">. </w:t>
      </w:r>
      <w:r w:rsidR="00632533" w:rsidRPr="00453B41">
        <w:rPr>
          <w:rFonts w:asciiTheme="majorHAnsi" w:hAnsiTheme="majorHAnsi"/>
          <w:sz w:val="24"/>
          <w:szCs w:val="24"/>
        </w:rPr>
        <w:t>S</w:t>
      </w:r>
      <w:r w:rsidR="00586DD1" w:rsidRPr="00453B41">
        <w:rPr>
          <w:rFonts w:asciiTheme="majorHAnsi" w:hAnsiTheme="majorHAnsi"/>
          <w:sz w:val="24"/>
          <w:szCs w:val="24"/>
        </w:rPr>
        <w:t xml:space="preserve">oovitakse, et hindamiskülastuseks oleks rohkem aega, et intervjuud oleksid pikemad ning võimaldaksid enam diskussiooni ning et igal intervjuul osalejal oleks piisavalt aega oma arvamuse avaldamiseks. </w:t>
      </w:r>
    </w:p>
    <w:p w:rsidR="00DE6BCC" w:rsidRPr="00453B41" w:rsidRDefault="00DE6BCC" w:rsidP="00DE6BCC">
      <w:pPr>
        <w:spacing w:after="0" w:line="360" w:lineRule="auto"/>
        <w:rPr>
          <w:rFonts w:asciiTheme="majorHAnsi" w:hAnsiTheme="majorHAnsi"/>
          <w:sz w:val="24"/>
          <w:szCs w:val="24"/>
        </w:rPr>
      </w:pPr>
    </w:p>
    <w:p w:rsidR="00F7548B" w:rsidRPr="00453B41" w:rsidRDefault="00DD187B" w:rsidP="00DE6BCC">
      <w:pPr>
        <w:spacing w:after="0" w:line="360" w:lineRule="auto"/>
        <w:rPr>
          <w:rFonts w:asciiTheme="majorHAnsi" w:hAnsiTheme="majorHAnsi"/>
          <w:sz w:val="24"/>
          <w:szCs w:val="24"/>
        </w:rPr>
      </w:pPr>
      <w:r w:rsidRPr="00453B41">
        <w:rPr>
          <w:rFonts w:asciiTheme="majorHAnsi" w:hAnsiTheme="majorHAnsi"/>
          <w:sz w:val="24"/>
          <w:szCs w:val="24"/>
        </w:rPr>
        <w:t>Kõrgkoolides toimunud tagasisideseminaride</w:t>
      </w:r>
      <w:r w:rsidR="0010516E" w:rsidRPr="00453B41">
        <w:rPr>
          <w:rFonts w:asciiTheme="majorHAnsi" w:hAnsiTheme="majorHAnsi"/>
          <w:sz w:val="24"/>
          <w:szCs w:val="24"/>
        </w:rPr>
        <w:t xml:space="preserve">l tõid kõrgkoolid välja eneseanalüüsi protsessi olulisust, rõhutasid kvaliteedihindamise mõju kõrgkoolisisese koostöö edenemisele, hindasid kõrgelt võimalust saada </w:t>
      </w:r>
      <w:r w:rsidR="00DE6BCC" w:rsidRPr="00453B41">
        <w:rPr>
          <w:rFonts w:asciiTheme="majorHAnsi" w:hAnsiTheme="majorHAnsi"/>
          <w:sz w:val="24"/>
          <w:szCs w:val="24"/>
        </w:rPr>
        <w:t>välis</w:t>
      </w:r>
      <w:r w:rsidR="0010516E" w:rsidRPr="00453B41">
        <w:rPr>
          <w:rFonts w:asciiTheme="majorHAnsi" w:hAnsiTheme="majorHAnsi"/>
          <w:sz w:val="24"/>
          <w:szCs w:val="24"/>
        </w:rPr>
        <w:t>kolleegidelt</w:t>
      </w:r>
      <w:r w:rsidR="00DE6BCC" w:rsidRPr="00453B41">
        <w:rPr>
          <w:rFonts w:asciiTheme="majorHAnsi" w:hAnsiTheme="majorHAnsi"/>
          <w:sz w:val="24"/>
          <w:szCs w:val="24"/>
        </w:rPr>
        <w:t xml:space="preserve"> ja tööandjate esindajalt</w:t>
      </w:r>
      <w:r w:rsidR="0010516E" w:rsidRPr="00453B41">
        <w:rPr>
          <w:rFonts w:asciiTheme="majorHAnsi" w:hAnsiTheme="majorHAnsi"/>
          <w:sz w:val="24"/>
          <w:szCs w:val="24"/>
        </w:rPr>
        <w:t xml:space="preserve"> konstruktiivset tagasisidet oma tegevusele. </w:t>
      </w:r>
      <w:r w:rsidR="00DE6BCC" w:rsidRPr="00453B41">
        <w:rPr>
          <w:rFonts w:asciiTheme="majorHAnsi" w:hAnsiTheme="majorHAnsi"/>
          <w:sz w:val="24"/>
          <w:szCs w:val="24"/>
        </w:rPr>
        <w:t>Tööandjate huvi nii osalemise vastu komisjonides kui tulemuste vastu valdkondades, kus on tööturul selge referents olemas. Samas leidsid kõrgkoolide esindajad</w:t>
      </w:r>
      <w:r w:rsidR="0010516E" w:rsidRPr="00453B41">
        <w:rPr>
          <w:rFonts w:asciiTheme="majorHAnsi" w:hAnsiTheme="majorHAnsi"/>
          <w:sz w:val="24"/>
          <w:szCs w:val="24"/>
        </w:rPr>
        <w:t xml:space="preserve">, et õppekavagrupi kvaliteedi hindamine on väga töömahukas nii kõrgkooli kui hindamiskomisjoni jaoks ning selle tajutud kasutegur õppejõudude jaoks on kohati väike; väiksemate kõrgkoolide puhul on üldosa ja õppekavagrupi tasandi eristamine keeruline; sisulisteks aruteludeks ekspertidega </w:t>
      </w:r>
      <w:r w:rsidR="0010516E" w:rsidRPr="00453B41">
        <w:rPr>
          <w:rFonts w:asciiTheme="majorHAnsi" w:hAnsiTheme="majorHAnsi"/>
          <w:sz w:val="24"/>
          <w:szCs w:val="24"/>
        </w:rPr>
        <w:lastRenderedPageBreak/>
        <w:t>õppekavade tasandil on aega liiga vähe; suurte õppekavagruppide puhul jääb tagasiside õppekava tasandil suhteliselt pealispindseks.</w:t>
      </w:r>
    </w:p>
    <w:p w:rsidR="00F7548B" w:rsidRPr="00453B41" w:rsidRDefault="00F7548B" w:rsidP="00F7548B">
      <w:pPr>
        <w:spacing w:after="0" w:line="360" w:lineRule="auto"/>
        <w:ind w:left="360"/>
        <w:rPr>
          <w:rFonts w:asciiTheme="majorHAnsi" w:hAnsiTheme="majorHAnsi"/>
          <w:sz w:val="24"/>
          <w:szCs w:val="24"/>
        </w:rPr>
      </w:pPr>
    </w:p>
    <w:p w:rsidR="00DE6BCC" w:rsidRPr="00453B41" w:rsidRDefault="00DE6BCC" w:rsidP="00DE6BCC">
      <w:pPr>
        <w:spacing w:after="0" w:line="360" w:lineRule="auto"/>
        <w:rPr>
          <w:rFonts w:asciiTheme="majorHAnsi" w:hAnsiTheme="majorHAnsi"/>
          <w:b/>
          <w:sz w:val="24"/>
          <w:szCs w:val="24"/>
        </w:rPr>
      </w:pPr>
      <w:r w:rsidRPr="00453B41">
        <w:rPr>
          <w:rFonts w:asciiTheme="majorHAnsi" w:hAnsiTheme="majorHAnsi"/>
          <w:b/>
          <w:sz w:val="24"/>
          <w:szCs w:val="24"/>
        </w:rPr>
        <w:t>Kuidas edasi?</w:t>
      </w:r>
    </w:p>
    <w:p w:rsidR="00DE6BCC" w:rsidRPr="00453B41" w:rsidRDefault="00DE6BCC" w:rsidP="00DE6BCC">
      <w:pPr>
        <w:spacing w:after="0" w:line="360" w:lineRule="auto"/>
        <w:rPr>
          <w:rFonts w:asciiTheme="majorHAnsi" w:hAnsiTheme="majorHAnsi"/>
          <w:sz w:val="24"/>
          <w:szCs w:val="24"/>
        </w:rPr>
      </w:pPr>
      <w:r w:rsidRPr="00453B41">
        <w:rPr>
          <w:rFonts w:asciiTheme="majorHAnsi" w:hAnsiTheme="majorHAnsi"/>
          <w:sz w:val="24"/>
          <w:szCs w:val="24"/>
        </w:rPr>
        <w:t>Periooditi on hindamiste maht kõrgkoolides väga suur ning erinevaid hindamisi liiga palju. Näiteks on 2017. aastal suuremates ülikoolides samal ajal nii korraline evalveerimine, doktoriõppe hindamine ja ka mitme õppekavagrupi hindamine.</w:t>
      </w:r>
    </w:p>
    <w:p w:rsidR="00DE6BCC" w:rsidRPr="00453B41" w:rsidRDefault="0010516E" w:rsidP="00DE6BCC">
      <w:pPr>
        <w:spacing w:after="0" w:line="360" w:lineRule="auto"/>
        <w:rPr>
          <w:rFonts w:asciiTheme="majorHAnsi" w:hAnsiTheme="majorHAnsi"/>
          <w:sz w:val="24"/>
          <w:szCs w:val="24"/>
        </w:rPr>
      </w:pPr>
      <w:r w:rsidRPr="00453B41">
        <w:rPr>
          <w:rFonts w:asciiTheme="majorHAnsi" w:hAnsiTheme="majorHAnsi"/>
          <w:sz w:val="24"/>
          <w:szCs w:val="24"/>
        </w:rPr>
        <w:t>2017. aastal saab läbi esimene</w:t>
      </w:r>
      <w:r w:rsidR="00DE6BCC" w:rsidRPr="00453B41">
        <w:rPr>
          <w:rFonts w:asciiTheme="majorHAnsi" w:hAnsiTheme="majorHAnsi"/>
          <w:sz w:val="24"/>
          <w:szCs w:val="24"/>
        </w:rPr>
        <w:t xml:space="preserve"> institutsionaalsete</w:t>
      </w:r>
      <w:r w:rsidRPr="00453B41">
        <w:rPr>
          <w:rFonts w:asciiTheme="majorHAnsi" w:hAnsiTheme="majorHAnsi"/>
          <w:sz w:val="24"/>
          <w:szCs w:val="24"/>
        </w:rPr>
        <w:t xml:space="preserve"> akrediteerimiste ring ning </w:t>
      </w:r>
      <w:r w:rsidR="00DE6BCC" w:rsidRPr="00453B41">
        <w:rPr>
          <w:rFonts w:asciiTheme="majorHAnsi" w:hAnsiTheme="majorHAnsi"/>
          <w:sz w:val="24"/>
          <w:szCs w:val="24"/>
        </w:rPr>
        <w:t>v</w:t>
      </w:r>
      <w:r w:rsidRPr="00453B41">
        <w:rPr>
          <w:rFonts w:asciiTheme="majorHAnsi" w:hAnsiTheme="majorHAnsi"/>
          <w:sz w:val="24"/>
          <w:szCs w:val="24"/>
        </w:rPr>
        <w:t>ajalik hinnata seni rakendatud lähenemisviisi toimivust</w:t>
      </w:r>
      <w:r w:rsidR="00DE6BCC" w:rsidRPr="00453B41">
        <w:rPr>
          <w:rFonts w:asciiTheme="majorHAnsi" w:hAnsiTheme="majorHAnsi"/>
          <w:sz w:val="24"/>
          <w:szCs w:val="24"/>
        </w:rPr>
        <w:t>.</w:t>
      </w:r>
      <w:r w:rsidRPr="00453B41">
        <w:rPr>
          <w:rFonts w:asciiTheme="majorHAnsi" w:hAnsiTheme="majorHAnsi"/>
          <w:sz w:val="24"/>
          <w:szCs w:val="24"/>
        </w:rPr>
        <w:t xml:space="preserve"> Institutsionaalset akrediteerimist ei ole mõistlik vaadelda lahus kogu kõrghariduse kvaliteedihindamise süsteemist. </w:t>
      </w:r>
      <w:r w:rsidR="00DE6BCC" w:rsidRPr="00453B41">
        <w:rPr>
          <w:rFonts w:asciiTheme="majorHAnsi" w:hAnsiTheme="majorHAnsi"/>
          <w:sz w:val="24"/>
          <w:szCs w:val="24"/>
        </w:rPr>
        <w:t xml:space="preserve">Seetõttu kutsus EKKA 2016. aasta lõpus kokku erinevate huvipoolte esindajatest koosneva arendustöörühma, mille ülesanne oli töötada välja ettepanekud kvaliteedihindamise süsteemi uuendamiseks. </w:t>
      </w:r>
      <w:r w:rsidR="00956EC0" w:rsidRPr="00453B41">
        <w:rPr>
          <w:rFonts w:asciiTheme="majorHAnsi" w:hAnsiTheme="majorHAnsi"/>
          <w:sz w:val="24"/>
          <w:szCs w:val="24"/>
        </w:rPr>
        <w:t>Uue kontseptsiooni kohaselt kavandatakse järgmised muudatused:</w:t>
      </w:r>
    </w:p>
    <w:p w:rsidR="00956EC0" w:rsidRPr="00453B41" w:rsidRDefault="00956EC0" w:rsidP="00DE6BCC">
      <w:pPr>
        <w:spacing w:after="0" w:line="360" w:lineRule="auto"/>
        <w:rPr>
          <w:rFonts w:asciiTheme="majorHAnsi" w:hAnsiTheme="majorHAnsi"/>
          <w:bCs/>
          <w:iCs/>
          <w:sz w:val="24"/>
          <w:szCs w:val="24"/>
        </w:rPr>
      </w:pPr>
    </w:p>
    <w:p w:rsidR="00DE6BCC" w:rsidRPr="00453B41" w:rsidRDefault="00DE6BCC" w:rsidP="00DE6BCC">
      <w:pPr>
        <w:numPr>
          <w:ilvl w:val="0"/>
          <w:numId w:val="5"/>
        </w:numPr>
        <w:spacing w:after="0" w:line="360" w:lineRule="auto"/>
        <w:rPr>
          <w:rFonts w:asciiTheme="majorHAnsi" w:hAnsiTheme="majorHAnsi"/>
          <w:bCs/>
          <w:iCs/>
          <w:sz w:val="24"/>
          <w:szCs w:val="24"/>
        </w:rPr>
      </w:pPr>
      <w:r w:rsidRPr="00453B41">
        <w:rPr>
          <w:rFonts w:asciiTheme="majorHAnsi" w:hAnsiTheme="majorHAnsi"/>
          <w:bCs/>
          <w:iCs/>
          <w:sz w:val="24"/>
          <w:szCs w:val="24"/>
        </w:rPr>
        <w:t>Peamine kõrghariduse kvaliteedihindamise meetod on alates 2020 institutsionaalne akrediteerimine, mille raames hinnatakse muuhulgas sisemise kvaliteedikindlustuse süsteemi toimimist. Süsteemi efektiivsust hinnatakse valimipõhiselt (2-3 õppekavade kimpu või õppekavagruppi).</w:t>
      </w:r>
    </w:p>
    <w:p w:rsidR="00DE6BCC" w:rsidRPr="00453B41" w:rsidRDefault="00DE6BCC" w:rsidP="00DE6BCC">
      <w:pPr>
        <w:numPr>
          <w:ilvl w:val="0"/>
          <w:numId w:val="5"/>
        </w:numPr>
        <w:spacing w:after="0" w:line="360" w:lineRule="auto"/>
        <w:rPr>
          <w:rFonts w:asciiTheme="majorHAnsi" w:hAnsiTheme="majorHAnsi"/>
          <w:bCs/>
          <w:iCs/>
          <w:sz w:val="24"/>
          <w:szCs w:val="24"/>
        </w:rPr>
      </w:pPr>
      <w:r w:rsidRPr="00453B41">
        <w:rPr>
          <w:rFonts w:asciiTheme="majorHAnsi" w:hAnsiTheme="majorHAnsi"/>
          <w:bCs/>
          <w:iCs/>
          <w:sz w:val="24"/>
          <w:szCs w:val="24"/>
        </w:rPr>
        <w:t xml:space="preserve">Õppekavagruppide </w:t>
      </w:r>
      <w:r w:rsidR="00956EC0" w:rsidRPr="00453B41">
        <w:rPr>
          <w:rFonts w:asciiTheme="majorHAnsi" w:hAnsiTheme="majorHAnsi"/>
          <w:bCs/>
          <w:iCs/>
          <w:sz w:val="24"/>
          <w:szCs w:val="24"/>
        </w:rPr>
        <w:t>kvaliteedihindamist</w:t>
      </w:r>
      <w:r w:rsidRPr="00453B41">
        <w:rPr>
          <w:rFonts w:asciiTheme="majorHAnsi" w:hAnsiTheme="majorHAnsi"/>
          <w:bCs/>
          <w:iCs/>
          <w:sz w:val="24"/>
          <w:szCs w:val="24"/>
        </w:rPr>
        <w:t xml:space="preserve"> selle praegusel kujul (kõik õppekavagrupid ja õpped vähemalt kord 7 aasta jooksul) </w:t>
      </w:r>
      <w:r w:rsidR="00956EC0" w:rsidRPr="00453B41">
        <w:rPr>
          <w:rFonts w:asciiTheme="majorHAnsi" w:hAnsiTheme="majorHAnsi"/>
          <w:bCs/>
          <w:iCs/>
          <w:sz w:val="24"/>
          <w:szCs w:val="24"/>
        </w:rPr>
        <w:t>ei ole otstarbekas jätkata</w:t>
      </w:r>
      <w:r w:rsidRPr="00453B41">
        <w:rPr>
          <w:rFonts w:asciiTheme="majorHAnsi" w:hAnsiTheme="majorHAnsi"/>
          <w:bCs/>
          <w:iCs/>
          <w:sz w:val="24"/>
          <w:szCs w:val="24"/>
        </w:rPr>
        <w:t xml:space="preserve">. </w:t>
      </w:r>
      <w:r w:rsidR="00956EC0" w:rsidRPr="00453B41">
        <w:rPr>
          <w:rFonts w:asciiTheme="majorHAnsi" w:hAnsiTheme="majorHAnsi"/>
          <w:bCs/>
          <w:iCs/>
          <w:sz w:val="24"/>
          <w:szCs w:val="24"/>
        </w:rPr>
        <w:t>Ressursside tõhusa ja mõjusa kasutuse eesmärgil</w:t>
      </w:r>
      <w:r w:rsidRPr="00453B41">
        <w:rPr>
          <w:rFonts w:asciiTheme="majorHAnsi" w:hAnsiTheme="majorHAnsi"/>
          <w:bCs/>
          <w:iCs/>
          <w:sz w:val="24"/>
          <w:szCs w:val="24"/>
        </w:rPr>
        <w:t xml:space="preserve"> kavandatakse </w:t>
      </w:r>
      <w:r w:rsidR="00956EC0" w:rsidRPr="00453B41">
        <w:rPr>
          <w:rFonts w:asciiTheme="majorHAnsi" w:hAnsiTheme="majorHAnsi"/>
          <w:bCs/>
          <w:iCs/>
          <w:sz w:val="24"/>
          <w:szCs w:val="24"/>
        </w:rPr>
        <w:t xml:space="preserve">alates 2020 kõrghariduse </w:t>
      </w:r>
      <w:r w:rsidRPr="00453B41">
        <w:rPr>
          <w:rFonts w:asciiTheme="majorHAnsi" w:hAnsiTheme="majorHAnsi"/>
          <w:bCs/>
          <w:iCs/>
          <w:sz w:val="24"/>
          <w:szCs w:val="24"/>
        </w:rPr>
        <w:t>temaatilisi hindamisi, mille eesmärk on toetada arenguid seniste hindamistulemuste põhjal ilmnenud süsteemiülestes parendusvaldkondades.</w:t>
      </w:r>
    </w:p>
    <w:p w:rsidR="00DE6BCC" w:rsidRPr="00453B41" w:rsidRDefault="00DE6BCC" w:rsidP="0010516E">
      <w:pPr>
        <w:spacing w:after="0" w:line="360" w:lineRule="auto"/>
        <w:rPr>
          <w:rFonts w:asciiTheme="majorHAnsi" w:hAnsiTheme="majorHAnsi"/>
          <w:b/>
          <w:sz w:val="24"/>
          <w:szCs w:val="24"/>
        </w:rPr>
      </w:pPr>
    </w:p>
    <w:p w:rsidR="0010516E" w:rsidRPr="00453B41" w:rsidRDefault="0010516E" w:rsidP="00596A6E">
      <w:pPr>
        <w:spacing w:after="0" w:line="360" w:lineRule="auto"/>
        <w:rPr>
          <w:rFonts w:asciiTheme="majorHAnsi" w:hAnsiTheme="majorHAnsi"/>
          <w:b/>
          <w:sz w:val="24"/>
          <w:szCs w:val="24"/>
        </w:rPr>
      </w:pPr>
    </w:p>
    <w:sectPr w:rsidR="0010516E" w:rsidRPr="00453B4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C67" w:rsidRDefault="00CB3C67" w:rsidP="00862A0F">
      <w:pPr>
        <w:spacing w:after="0" w:line="240" w:lineRule="auto"/>
      </w:pPr>
      <w:r>
        <w:separator/>
      </w:r>
    </w:p>
  </w:endnote>
  <w:endnote w:type="continuationSeparator" w:id="0">
    <w:p w:rsidR="00CB3C67" w:rsidRDefault="00CB3C67" w:rsidP="00862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20002A87" w:usb1="00000000" w:usb2="00000000"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20002A87" w:usb1="00000000" w:usb2="00000000"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5330720"/>
      <w:docPartObj>
        <w:docPartGallery w:val="Page Numbers (Bottom of Page)"/>
        <w:docPartUnique/>
      </w:docPartObj>
    </w:sdtPr>
    <w:sdtEndPr>
      <w:rPr>
        <w:noProof/>
      </w:rPr>
    </w:sdtEndPr>
    <w:sdtContent>
      <w:p w:rsidR="00803191" w:rsidRDefault="00803191">
        <w:pPr>
          <w:pStyle w:val="Footer"/>
          <w:jc w:val="center"/>
        </w:pPr>
        <w:r>
          <w:fldChar w:fldCharType="begin"/>
        </w:r>
        <w:r>
          <w:instrText xml:space="preserve"> PAGE   \* MERGEFORMAT </w:instrText>
        </w:r>
        <w:r>
          <w:fldChar w:fldCharType="separate"/>
        </w:r>
        <w:r w:rsidR="003B36A5">
          <w:rPr>
            <w:noProof/>
          </w:rPr>
          <w:t>4</w:t>
        </w:r>
        <w:r>
          <w:rPr>
            <w:noProof/>
          </w:rPr>
          <w:fldChar w:fldCharType="end"/>
        </w:r>
      </w:p>
    </w:sdtContent>
  </w:sdt>
  <w:p w:rsidR="00803191" w:rsidRDefault="008031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C67" w:rsidRDefault="00CB3C67" w:rsidP="00862A0F">
      <w:pPr>
        <w:spacing w:after="0" w:line="240" w:lineRule="auto"/>
      </w:pPr>
      <w:r>
        <w:separator/>
      </w:r>
    </w:p>
  </w:footnote>
  <w:footnote w:type="continuationSeparator" w:id="0">
    <w:p w:rsidR="00CB3C67" w:rsidRDefault="00CB3C67" w:rsidP="00862A0F">
      <w:pPr>
        <w:spacing w:after="0" w:line="240" w:lineRule="auto"/>
      </w:pPr>
      <w:r>
        <w:continuationSeparator/>
      </w:r>
    </w:p>
  </w:footnote>
  <w:footnote w:id="1">
    <w:p w:rsidR="00803191" w:rsidRPr="00862A0F" w:rsidRDefault="00803191">
      <w:pPr>
        <w:pStyle w:val="FootnoteText"/>
        <w:rPr>
          <w:lang w:val="en-US"/>
        </w:rPr>
      </w:pPr>
      <w:r>
        <w:rPr>
          <w:rStyle w:val="FootnoteReference"/>
        </w:rPr>
        <w:footnoteRef/>
      </w:r>
      <w:r>
        <w:t xml:space="preserve"> </w:t>
      </w:r>
      <w:r>
        <w:rPr>
          <w:lang w:val="en-US"/>
        </w:rPr>
        <w:t xml:space="preserve">Kõik hindamisotsused ja aruanded on avalikud EKKA kodulehel: </w:t>
      </w:r>
      <w:hyperlink r:id="rId1" w:history="1">
        <w:r w:rsidRPr="00826E9C">
          <w:rPr>
            <w:rStyle w:val="Hyperlink"/>
            <w:lang w:val="en-US"/>
          </w:rPr>
          <w:t>http://ekka.archimedes.ee/korgkoolile/oppekavagrupi-kvaliteedi-hindamine/hindamisotsused-ja-aruanded/</w:t>
        </w:r>
      </w:hyperlink>
      <w:r>
        <w:rPr>
          <w:lang w:val="en-US"/>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35DA8"/>
    <w:multiLevelType w:val="hybridMultilevel"/>
    <w:tmpl w:val="BED8EBA0"/>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305E41CC"/>
    <w:multiLevelType w:val="hybridMultilevel"/>
    <w:tmpl w:val="8E280A5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nsid w:val="42B60CEA"/>
    <w:multiLevelType w:val="multilevel"/>
    <w:tmpl w:val="3D0EA2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45145AC2"/>
    <w:multiLevelType w:val="multilevel"/>
    <w:tmpl w:val="32DEF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4FA267D"/>
    <w:multiLevelType w:val="hybridMultilevel"/>
    <w:tmpl w:val="7EC84A0A"/>
    <w:lvl w:ilvl="0" w:tplc="CDA2466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C55"/>
    <w:rsid w:val="00016B82"/>
    <w:rsid w:val="000172C4"/>
    <w:rsid w:val="00022D83"/>
    <w:rsid w:val="00042B76"/>
    <w:rsid w:val="00070B64"/>
    <w:rsid w:val="0009459F"/>
    <w:rsid w:val="000B00C2"/>
    <w:rsid w:val="000E50BB"/>
    <w:rsid w:val="000E78A2"/>
    <w:rsid w:val="0010516E"/>
    <w:rsid w:val="00130898"/>
    <w:rsid w:val="00147017"/>
    <w:rsid w:val="001640F3"/>
    <w:rsid w:val="001714CF"/>
    <w:rsid w:val="00182EC4"/>
    <w:rsid w:val="001878DF"/>
    <w:rsid w:val="001A79CC"/>
    <w:rsid w:val="001B2FAD"/>
    <w:rsid w:val="001D3998"/>
    <w:rsid w:val="001E479D"/>
    <w:rsid w:val="0020422B"/>
    <w:rsid w:val="00206C55"/>
    <w:rsid w:val="0022444E"/>
    <w:rsid w:val="00234331"/>
    <w:rsid w:val="00275731"/>
    <w:rsid w:val="00280849"/>
    <w:rsid w:val="002A29DC"/>
    <w:rsid w:val="002B45D9"/>
    <w:rsid w:val="002E6FCA"/>
    <w:rsid w:val="00313A33"/>
    <w:rsid w:val="00322812"/>
    <w:rsid w:val="003258FE"/>
    <w:rsid w:val="003442DD"/>
    <w:rsid w:val="003625F6"/>
    <w:rsid w:val="003777FD"/>
    <w:rsid w:val="0038541D"/>
    <w:rsid w:val="00391380"/>
    <w:rsid w:val="00391500"/>
    <w:rsid w:val="0039630B"/>
    <w:rsid w:val="003B36A5"/>
    <w:rsid w:val="003B7DEF"/>
    <w:rsid w:val="003E011C"/>
    <w:rsid w:val="00447717"/>
    <w:rsid w:val="00452F90"/>
    <w:rsid w:val="00453B41"/>
    <w:rsid w:val="0048676A"/>
    <w:rsid w:val="00493D9F"/>
    <w:rsid w:val="004C7CB7"/>
    <w:rsid w:val="00500752"/>
    <w:rsid w:val="00512805"/>
    <w:rsid w:val="0051782B"/>
    <w:rsid w:val="00563204"/>
    <w:rsid w:val="00586DD1"/>
    <w:rsid w:val="00592160"/>
    <w:rsid w:val="00596A6E"/>
    <w:rsid w:val="005A387F"/>
    <w:rsid w:val="005A51A2"/>
    <w:rsid w:val="005A5D56"/>
    <w:rsid w:val="005B40A2"/>
    <w:rsid w:val="005D55A2"/>
    <w:rsid w:val="005E2B1D"/>
    <w:rsid w:val="00602960"/>
    <w:rsid w:val="00625AC8"/>
    <w:rsid w:val="00625D22"/>
    <w:rsid w:val="00632533"/>
    <w:rsid w:val="006378D4"/>
    <w:rsid w:val="00643374"/>
    <w:rsid w:val="006C685C"/>
    <w:rsid w:val="006D4E46"/>
    <w:rsid w:val="006E11E7"/>
    <w:rsid w:val="006F3DF9"/>
    <w:rsid w:val="00733246"/>
    <w:rsid w:val="0077088C"/>
    <w:rsid w:val="00786CE1"/>
    <w:rsid w:val="0079247D"/>
    <w:rsid w:val="00797895"/>
    <w:rsid w:val="007D705E"/>
    <w:rsid w:val="007E278D"/>
    <w:rsid w:val="00803191"/>
    <w:rsid w:val="00814721"/>
    <w:rsid w:val="00824081"/>
    <w:rsid w:val="008324F8"/>
    <w:rsid w:val="00832C3A"/>
    <w:rsid w:val="00842231"/>
    <w:rsid w:val="00852BEE"/>
    <w:rsid w:val="008622E4"/>
    <w:rsid w:val="00862A0F"/>
    <w:rsid w:val="008700D1"/>
    <w:rsid w:val="008860CE"/>
    <w:rsid w:val="00887D52"/>
    <w:rsid w:val="008C1626"/>
    <w:rsid w:val="008D0774"/>
    <w:rsid w:val="008D24B7"/>
    <w:rsid w:val="00903A49"/>
    <w:rsid w:val="00913680"/>
    <w:rsid w:val="0092693D"/>
    <w:rsid w:val="0093197D"/>
    <w:rsid w:val="00956EC0"/>
    <w:rsid w:val="00995670"/>
    <w:rsid w:val="009D03FF"/>
    <w:rsid w:val="00A43DD7"/>
    <w:rsid w:val="00A7363B"/>
    <w:rsid w:val="00AC1AAC"/>
    <w:rsid w:val="00AE4B0B"/>
    <w:rsid w:val="00AF323E"/>
    <w:rsid w:val="00AF68E7"/>
    <w:rsid w:val="00AF6C21"/>
    <w:rsid w:val="00B11A49"/>
    <w:rsid w:val="00B417F6"/>
    <w:rsid w:val="00B92ABA"/>
    <w:rsid w:val="00BC16BE"/>
    <w:rsid w:val="00BC6FE5"/>
    <w:rsid w:val="00C0415E"/>
    <w:rsid w:val="00C12A31"/>
    <w:rsid w:val="00C132B6"/>
    <w:rsid w:val="00C45F47"/>
    <w:rsid w:val="00C65978"/>
    <w:rsid w:val="00CB377A"/>
    <w:rsid w:val="00CB3C67"/>
    <w:rsid w:val="00CB5FB0"/>
    <w:rsid w:val="00CB7023"/>
    <w:rsid w:val="00CB7EC4"/>
    <w:rsid w:val="00CE5C5A"/>
    <w:rsid w:val="00D015A0"/>
    <w:rsid w:val="00D101DF"/>
    <w:rsid w:val="00D143F6"/>
    <w:rsid w:val="00D25E68"/>
    <w:rsid w:val="00D30865"/>
    <w:rsid w:val="00D3108F"/>
    <w:rsid w:val="00D36F8E"/>
    <w:rsid w:val="00D43F9F"/>
    <w:rsid w:val="00D45822"/>
    <w:rsid w:val="00D74347"/>
    <w:rsid w:val="00DB1613"/>
    <w:rsid w:val="00DC0264"/>
    <w:rsid w:val="00DD187B"/>
    <w:rsid w:val="00DE6BCC"/>
    <w:rsid w:val="00DF096D"/>
    <w:rsid w:val="00DF3FC5"/>
    <w:rsid w:val="00DF5871"/>
    <w:rsid w:val="00E24B86"/>
    <w:rsid w:val="00E3316A"/>
    <w:rsid w:val="00E43241"/>
    <w:rsid w:val="00EB163D"/>
    <w:rsid w:val="00EF4BDC"/>
    <w:rsid w:val="00F04698"/>
    <w:rsid w:val="00F10562"/>
    <w:rsid w:val="00F21355"/>
    <w:rsid w:val="00F32F5C"/>
    <w:rsid w:val="00F40BE8"/>
    <w:rsid w:val="00F434B2"/>
    <w:rsid w:val="00F7548B"/>
    <w:rsid w:val="00F85560"/>
    <w:rsid w:val="00F97352"/>
    <w:rsid w:val="00FA202F"/>
    <w:rsid w:val="00FB456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2A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62A0F"/>
    <w:rPr>
      <w:color w:val="0000FF" w:themeColor="hyperlink"/>
      <w:u w:val="single"/>
    </w:rPr>
  </w:style>
  <w:style w:type="paragraph" w:styleId="FootnoteText">
    <w:name w:val="footnote text"/>
    <w:basedOn w:val="Normal"/>
    <w:link w:val="FootnoteTextChar"/>
    <w:uiPriority w:val="99"/>
    <w:semiHidden/>
    <w:unhideWhenUsed/>
    <w:rsid w:val="00862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A0F"/>
    <w:rPr>
      <w:sz w:val="20"/>
      <w:szCs w:val="20"/>
    </w:rPr>
  </w:style>
  <w:style w:type="character" w:styleId="FootnoteReference">
    <w:name w:val="footnote reference"/>
    <w:basedOn w:val="DefaultParagraphFont"/>
    <w:uiPriority w:val="99"/>
    <w:semiHidden/>
    <w:unhideWhenUsed/>
    <w:rsid w:val="00862A0F"/>
    <w:rPr>
      <w:vertAlign w:val="superscript"/>
    </w:rPr>
  </w:style>
  <w:style w:type="table" w:styleId="MediumList2-Accent6">
    <w:name w:val="Medium List 2 Accent 6"/>
    <w:basedOn w:val="TableNormal"/>
    <w:uiPriority w:val="66"/>
    <w:rsid w:val="00CB5F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0">
    <w:name w:val="[Normal]"/>
    <w:rsid w:val="00275731"/>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E5C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C5A"/>
  </w:style>
  <w:style w:type="paragraph" w:styleId="Footer">
    <w:name w:val="footer"/>
    <w:basedOn w:val="Normal"/>
    <w:link w:val="FooterChar"/>
    <w:uiPriority w:val="99"/>
    <w:unhideWhenUsed/>
    <w:rsid w:val="00CE5C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C5A"/>
  </w:style>
  <w:style w:type="character" w:styleId="CommentReference">
    <w:name w:val="annotation reference"/>
    <w:basedOn w:val="DefaultParagraphFont"/>
    <w:uiPriority w:val="99"/>
    <w:semiHidden/>
    <w:unhideWhenUsed/>
    <w:rsid w:val="003777FD"/>
    <w:rPr>
      <w:sz w:val="16"/>
      <w:szCs w:val="16"/>
    </w:rPr>
  </w:style>
  <w:style w:type="paragraph" w:styleId="CommentText">
    <w:name w:val="annotation text"/>
    <w:basedOn w:val="Normal"/>
    <w:link w:val="CommentTextChar"/>
    <w:uiPriority w:val="99"/>
    <w:semiHidden/>
    <w:unhideWhenUsed/>
    <w:rsid w:val="003777FD"/>
    <w:pPr>
      <w:spacing w:line="240" w:lineRule="auto"/>
    </w:pPr>
    <w:rPr>
      <w:sz w:val="20"/>
      <w:szCs w:val="20"/>
    </w:rPr>
  </w:style>
  <w:style w:type="character" w:customStyle="1" w:styleId="CommentTextChar">
    <w:name w:val="Comment Text Char"/>
    <w:basedOn w:val="DefaultParagraphFont"/>
    <w:link w:val="CommentText"/>
    <w:uiPriority w:val="99"/>
    <w:semiHidden/>
    <w:rsid w:val="003777FD"/>
    <w:rPr>
      <w:sz w:val="20"/>
      <w:szCs w:val="20"/>
    </w:rPr>
  </w:style>
  <w:style w:type="paragraph" w:styleId="CommentSubject">
    <w:name w:val="annotation subject"/>
    <w:basedOn w:val="CommentText"/>
    <w:next w:val="CommentText"/>
    <w:link w:val="CommentSubjectChar"/>
    <w:uiPriority w:val="99"/>
    <w:semiHidden/>
    <w:unhideWhenUsed/>
    <w:rsid w:val="003777FD"/>
    <w:rPr>
      <w:b/>
      <w:bCs/>
    </w:rPr>
  </w:style>
  <w:style w:type="character" w:customStyle="1" w:styleId="CommentSubjectChar">
    <w:name w:val="Comment Subject Char"/>
    <w:basedOn w:val="CommentTextChar"/>
    <w:link w:val="CommentSubject"/>
    <w:uiPriority w:val="99"/>
    <w:semiHidden/>
    <w:rsid w:val="003777FD"/>
    <w:rPr>
      <w:b/>
      <w:bCs/>
      <w:sz w:val="20"/>
      <w:szCs w:val="20"/>
    </w:rPr>
  </w:style>
  <w:style w:type="paragraph" w:styleId="BalloonText">
    <w:name w:val="Balloon Text"/>
    <w:basedOn w:val="Normal"/>
    <w:link w:val="BalloonTextChar"/>
    <w:uiPriority w:val="99"/>
    <w:semiHidden/>
    <w:unhideWhenUsed/>
    <w:rsid w:val="0037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FD"/>
    <w:rPr>
      <w:rFonts w:ascii="Tahoma" w:hAnsi="Tahoma" w:cs="Tahoma"/>
      <w:sz w:val="16"/>
      <w:szCs w:val="16"/>
    </w:rPr>
  </w:style>
  <w:style w:type="paragraph" w:styleId="ListParagraph">
    <w:name w:val="List Paragraph"/>
    <w:basedOn w:val="Normal"/>
    <w:uiPriority w:val="34"/>
    <w:qFormat/>
    <w:rsid w:val="008D07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06C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62A0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62A0F"/>
    <w:rPr>
      <w:color w:val="0000FF" w:themeColor="hyperlink"/>
      <w:u w:val="single"/>
    </w:rPr>
  </w:style>
  <w:style w:type="paragraph" w:styleId="FootnoteText">
    <w:name w:val="footnote text"/>
    <w:basedOn w:val="Normal"/>
    <w:link w:val="FootnoteTextChar"/>
    <w:uiPriority w:val="99"/>
    <w:semiHidden/>
    <w:unhideWhenUsed/>
    <w:rsid w:val="00862A0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62A0F"/>
    <w:rPr>
      <w:sz w:val="20"/>
      <w:szCs w:val="20"/>
    </w:rPr>
  </w:style>
  <w:style w:type="character" w:styleId="FootnoteReference">
    <w:name w:val="footnote reference"/>
    <w:basedOn w:val="DefaultParagraphFont"/>
    <w:uiPriority w:val="99"/>
    <w:semiHidden/>
    <w:unhideWhenUsed/>
    <w:rsid w:val="00862A0F"/>
    <w:rPr>
      <w:vertAlign w:val="superscript"/>
    </w:rPr>
  </w:style>
  <w:style w:type="table" w:styleId="MediumList2-Accent6">
    <w:name w:val="Medium List 2 Accent 6"/>
    <w:basedOn w:val="TableNormal"/>
    <w:uiPriority w:val="66"/>
    <w:rsid w:val="00CB5FB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ormal0">
    <w:name w:val="[Normal]"/>
    <w:rsid w:val="00275731"/>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E5C5A"/>
    <w:pPr>
      <w:tabs>
        <w:tab w:val="center" w:pos="4536"/>
        <w:tab w:val="right" w:pos="9072"/>
      </w:tabs>
      <w:spacing w:after="0" w:line="240" w:lineRule="auto"/>
    </w:pPr>
  </w:style>
  <w:style w:type="character" w:customStyle="1" w:styleId="HeaderChar">
    <w:name w:val="Header Char"/>
    <w:basedOn w:val="DefaultParagraphFont"/>
    <w:link w:val="Header"/>
    <w:uiPriority w:val="99"/>
    <w:rsid w:val="00CE5C5A"/>
  </w:style>
  <w:style w:type="paragraph" w:styleId="Footer">
    <w:name w:val="footer"/>
    <w:basedOn w:val="Normal"/>
    <w:link w:val="FooterChar"/>
    <w:uiPriority w:val="99"/>
    <w:unhideWhenUsed/>
    <w:rsid w:val="00CE5C5A"/>
    <w:pPr>
      <w:tabs>
        <w:tab w:val="center" w:pos="4536"/>
        <w:tab w:val="right" w:pos="9072"/>
      </w:tabs>
      <w:spacing w:after="0" w:line="240" w:lineRule="auto"/>
    </w:pPr>
  </w:style>
  <w:style w:type="character" w:customStyle="1" w:styleId="FooterChar">
    <w:name w:val="Footer Char"/>
    <w:basedOn w:val="DefaultParagraphFont"/>
    <w:link w:val="Footer"/>
    <w:uiPriority w:val="99"/>
    <w:rsid w:val="00CE5C5A"/>
  </w:style>
  <w:style w:type="character" w:styleId="CommentReference">
    <w:name w:val="annotation reference"/>
    <w:basedOn w:val="DefaultParagraphFont"/>
    <w:uiPriority w:val="99"/>
    <w:semiHidden/>
    <w:unhideWhenUsed/>
    <w:rsid w:val="003777FD"/>
    <w:rPr>
      <w:sz w:val="16"/>
      <w:szCs w:val="16"/>
    </w:rPr>
  </w:style>
  <w:style w:type="paragraph" w:styleId="CommentText">
    <w:name w:val="annotation text"/>
    <w:basedOn w:val="Normal"/>
    <w:link w:val="CommentTextChar"/>
    <w:uiPriority w:val="99"/>
    <w:semiHidden/>
    <w:unhideWhenUsed/>
    <w:rsid w:val="003777FD"/>
    <w:pPr>
      <w:spacing w:line="240" w:lineRule="auto"/>
    </w:pPr>
    <w:rPr>
      <w:sz w:val="20"/>
      <w:szCs w:val="20"/>
    </w:rPr>
  </w:style>
  <w:style w:type="character" w:customStyle="1" w:styleId="CommentTextChar">
    <w:name w:val="Comment Text Char"/>
    <w:basedOn w:val="DefaultParagraphFont"/>
    <w:link w:val="CommentText"/>
    <w:uiPriority w:val="99"/>
    <w:semiHidden/>
    <w:rsid w:val="003777FD"/>
    <w:rPr>
      <w:sz w:val="20"/>
      <w:szCs w:val="20"/>
    </w:rPr>
  </w:style>
  <w:style w:type="paragraph" w:styleId="CommentSubject">
    <w:name w:val="annotation subject"/>
    <w:basedOn w:val="CommentText"/>
    <w:next w:val="CommentText"/>
    <w:link w:val="CommentSubjectChar"/>
    <w:uiPriority w:val="99"/>
    <w:semiHidden/>
    <w:unhideWhenUsed/>
    <w:rsid w:val="003777FD"/>
    <w:rPr>
      <w:b/>
      <w:bCs/>
    </w:rPr>
  </w:style>
  <w:style w:type="character" w:customStyle="1" w:styleId="CommentSubjectChar">
    <w:name w:val="Comment Subject Char"/>
    <w:basedOn w:val="CommentTextChar"/>
    <w:link w:val="CommentSubject"/>
    <w:uiPriority w:val="99"/>
    <w:semiHidden/>
    <w:rsid w:val="003777FD"/>
    <w:rPr>
      <w:b/>
      <w:bCs/>
      <w:sz w:val="20"/>
      <w:szCs w:val="20"/>
    </w:rPr>
  </w:style>
  <w:style w:type="paragraph" w:styleId="BalloonText">
    <w:name w:val="Balloon Text"/>
    <w:basedOn w:val="Normal"/>
    <w:link w:val="BalloonTextChar"/>
    <w:uiPriority w:val="99"/>
    <w:semiHidden/>
    <w:unhideWhenUsed/>
    <w:rsid w:val="003777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77FD"/>
    <w:rPr>
      <w:rFonts w:ascii="Tahoma" w:hAnsi="Tahoma" w:cs="Tahoma"/>
      <w:sz w:val="16"/>
      <w:szCs w:val="16"/>
    </w:rPr>
  </w:style>
  <w:style w:type="paragraph" w:styleId="ListParagraph">
    <w:name w:val="List Paragraph"/>
    <w:basedOn w:val="Normal"/>
    <w:uiPriority w:val="34"/>
    <w:qFormat/>
    <w:rsid w:val="008D07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39117">
      <w:bodyDiv w:val="1"/>
      <w:marLeft w:val="0"/>
      <w:marRight w:val="0"/>
      <w:marTop w:val="0"/>
      <w:marBottom w:val="0"/>
      <w:divBdr>
        <w:top w:val="none" w:sz="0" w:space="0" w:color="auto"/>
        <w:left w:val="none" w:sz="0" w:space="0" w:color="auto"/>
        <w:bottom w:val="none" w:sz="0" w:space="0" w:color="auto"/>
        <w:right w:val="none" w:sz="0" w:space="0" w:color="auto"/>
      </w:divBdr>
    </w:div>
    <w:div w:id="419448877">
      <w:bodyDiv w:val="1"/>
      <w:marLeft w:val="0"/>
      <w:marRight w:val="0"/>
      <w:marTop w:val="0"/>
      <w:marBottom w:val="0"/>
      <w:divBdr>
        <w:top w:val="none" w:sz="0" w:space="0" w:color="auto"/>
        <w:left w:val="none" w:sz="0" w:space="0" w:color="auto"/>
        <w:bottom w:val="none" w:sz="0" w:space="0" w:color="auto"/>
        <w:right w:val="none" w:sz="0" w:space="0" w:color="auto"/>
      </w:divBdr>
    </w:div>
    <w:div w:id="1600260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_rels/footnotes.xml.rels><?xml version="1.0" encoding="UTF-8" standalone="yes"?>
<Relationships xmlns="http://schemas.openxmlformats.org/package/2006/relationships"><Relationship Id="rId1" Type="http://schemas.openxmlformats.org/officeDocument/2006/relationships/hyperlink" Target="http://ekka.archimedes.ee/korgkoolile/oppekavagrupi-kvaliteedi-hindamine/hindamisotsused-ja-aruanded/"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Õppekavagrupi kvaliteedi hindamise otsused 2012-2016</c:v>
                </c:pt>
              </c:strCache>
            </c:strRef>
          </c:tx>
          <c:dPt>
            <c:idx val="0"/>
            <c:bubble3D val="0"/>
            <c:spPr>
              <a:solidFill>
                <a:srgbClr val="92D050"/>
              </a:solidFill>
            </c:spPr>
          </c:dPt>
          <c:dPt>
            <c:idx val="1"/>
            <c:bubble3D val="0"/>
            <c:spPr>
              <a:solidFill>
                <a:schemeClr val="accent3">
                  <a:lumMod val="20000"/>
                  <a:lumOff val="80000"/>
                </a:schemeClr>
              </a:solidFill>
            </c:spPr>
          </c:dPt>
          <c:dPt>
            <c:idx val="2"/>
            <c:bubble3D val="0"/>
            <c:spPr>
              <a:solidFill>
                <a:schemeClr val="accent2">
                  <a:lumMod val="20000"/>
                  <a:lumOff val="80000"/>
                </a:schemeClr>
              </a:solidFill>
            </c:spPr>
          </c:dPt>
          <c:dLbls>
            <c:showLegendKey val="0"/>
            <c:showVal val="0"/>
            <c:showCatName val="0"/>
            <c:showSerName val="0"/>
            <c:showPercent val="1"/>
            <c:showBubbleSize val="0"/>
            <c:showLeaderLines val="1"/>
          </c:dLbls>
          <c:cat>
            <c:strRef>
              <c:f>Sheet1!$A$2:$A$4</c:f>
              <c:strCache>
                <c:ptCount val="3"/>
                <c:pt idx="0">
                  <c:v>7 aastat</c:v>
                </c:pt>
                <c:pt idx="1">
                  <c:v>7 aastat kõrvaltingimusega</c:v>
                </c:pt>
                <c:pt idx="2">
                  <c:v>Vähem kui 7 aastat</c:v>
                </c:pt>
              </c:strCache>
            </c:strRef>
          </c:cat>
          <c:val>
            <c:numRef>
              <c:f>Sheet1!$B$2:$B$4</c:f>
              <c:numCache>
                <c:formatCode>General</c:formatCode>
                <c:ptCount val="3"/>
                <c:pt idx="0">
                  <c:v>33</c:v>
                </c:pt>
                <c:pt idx="1">
                  <c:v>18</c:v>
                </c:pt>
                <c:pt idx="2">
                  <c:v>9</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587537-9C63-4249-8C83-18385233B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Pages>
  <Words>1608</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Liia Lauri</dc:creator>
  <cp:lastModifiedBy>Liia Lauri</cp:lastModifiedBy>
  <cp:revision>6</cp:revision>
  <cp:lastPrinted>2017-08-31T08:10:00Z</cp:lastPrinted>
  <dcterms:created xsi:type="dcterms:W3CDTF">2017-08-11T13:48:00Z</dcterms:created>
  <dcterms:modified xsi:type="dcterms:W3CDTF">2017-10-03T14:17:00Z</dcterms:modified>
</cp:coreProperties>
</file>